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88A8">
      <w:pPr>
        <w:pStyle w:val="4"/>
        <w:ind w:left="0" w:leftChars="0" w:firstLine="0" w:firstLineChars="0"/>
        <w:jc w:val="both"/>
        <w:rPr>
          <w:rFonts w:hint="eastAsia" w:ascii="黑体" w:hAnsi="黑体" w:eastAsia="黑体" w:cs="黑体"/>
          <w:b/>
          <w:bCs/>
          <w:color w:val="auto"/>
          <w:sz w:val="48"/>
          <w:szCs w:val="48"/>
          <w:highlight w:val="none"/>
          <w:lang w:eastAsia="zh-CN"/>
        </w:rPr>
      </w:pPr>
    </w:p>
    <w:p w14:paraId="7890F40E">
      <w:pPr>
        <w:spacing w:line="240" w:lineRule="auto"/>
        <w:ind w:firstLine="0" w:firstLineChars="0"/>
        <w:jc w:val="center"/>
        <w:rPr>
          <w:rFonts w:hint="default"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eastAsia="zh-CN"/>
        </w:rPr>
        <w:t>仁怀市中枢第四小学改扩建项目弱电工程专业分包采购</w:t>
      </w:r>
    </w:p>
    <w:p w14:paraId="2EA5D1E2">
      <w:pPr>
        <w:spacing w:line="240" w:lineRule="auto"/>
        <w:ind w:firstLine="0" w:firstLineChars="0"/>
        <w:jc w:val="center"/>
        <w:rPr>
          <w:rFonts w:hint="eastAsia" w:ascii="黑体" w:hAnsi="黑体" w:eastAsia="黑体" w:cs="黑体"/>
          <w:b/>
          <w:bCs/>
          <w:color w:val="auto"/>
          <w:sz w:val="48"/>
          <w:szCs w:val="48"/>
          <w:highlight w:val="none"/>
          <w:lang w:eastAsia="zh-CN"/>
        </w:rPr>
      </w:pPr>
    </w:p>
    <w:p w14:paraId="13D8B3E2">
      <w:pPr>
        <w:spacing w:line="240" w:lineRule="auto"/>
        <w:ind w:firstLine="0" w:firstLineChars="0"/>
        <w:jc w:val="center"/>
        <w:rPr>
          <w:rFonts w:hint="eastAsia" w:ascii="黑体" w:hAnsi="黑体" w:eastAsia="黑体" w:cs="黑体"/>
          <w:b/>
          <w:bCs/>
          <w:color w:val="auto"/>
          <w:sz w:val="48"/>
          <w:szCs w:val="48"/>
          <w:highlight w:val="none"/>
          <w:lang w:eastAsia="zh-CN"/>
        </w:rPr>
      </w:pPr>
    </w:p>
    <w:p w14:paraId="57EB2370">
      <w:pPr>
        <w:spacing w:line="240" w:lineRule="auto"/>
        <w:ind w:firstLine="0" w:firstLineChars="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lang w:eastAsia="zh-CN"/>
        </w:rPr>
        <w:t>谈判采购</w:t>
      </w:r>
      <w:r>
        <w:rPr>
          <w:rFonts w:hint="eastAsia" w:ascii="黑体" w:hAnsi="黑体" w:eastAsia="黑体" w:cs="黑体"/>
          <w:b/>
          <w:bCs/>
          <w:color w:val="auto"/>
          <w:sz w:val="72"/>
          <w:szCs w:val="72"/>
          <w:highlight w:val="none"/>
        </w:rPr>
        <w:t>文件</w:t>
      </w:r>
    </w:p>
    <w:p w14:paraId="215672CF">
      <w:pPr>
        <w:spacing w:line="240" w:lineRule="auto"/>
        <w:ind w:firstLine="0" w:firstLineChars="0"/>
        <w:jc w:val="center"/>
        <w:rPr>
          <w:rFonts w:hint="eastAsia" w:ascii="黑体" w:hAnsi="黑体" w:eastAsia="黑体" w:cs="黑体"/>
          <w:b/>
          <w:bCs/>
          <w:color w:val="auto"/>
          <w:sz w:val="72"/>
          <w:szCs w:val="72"/>
          <w:highlight w:val="none"/>
        </w:rPr>
      </w:pPr>
    </w:p>
    <w:p w14:paraId="66095C2E">
      <w:pPr>
        <w:spacing w:line="240" w:lineRule="auto"/>
        <w:ind w:firstLine="0" w:firstLineChars="0"/>
        <w:jc w:val="center"/>
        <w:rPr>
          <w:rFonts w:hint="eastAsia" w:ascii="黑体" w:hAnsi="黑体" w:eastAsia="黑体" w:cs="黑体"/>
          <w:b/>
          <w:bCs/>
          <w:color w:val="auto"/>
          <w:sz w:val="72"/>
          <w:szCs w:val="72"/>
          <w:highlight w:val="none"/>
        </w:rPr>
      </w:pPr>
    </w:p>
    <w:p w14:paraId="6C66811D">
      <w:pPr>
        <w:spacing w:line="240" w:lineRule="auto"/>
        <w:ind w:firstLine="0" w:firstLineChars="0"/>
        <w:jc w:val="center"/>
        <w:rPr>
          <w:rFonts w:hint="eastAsia" w:ascii="黑体" w:hAnsi="黑体" w:eastAsia="黑体" w:cs="黑体"/>
          <w:b/>
          <w:bCs/>
          <w:color w:val="auto"/>
          <w:sz w:val="72"/>
          <w:szCs w:val="72"/>
          <w:highlight w:val="none"/>
        </w:rPr>
      </w:pPr>
    </w:p>
    <w:p w14:paraId="1DED6373">
      <w:pPr>
        <w:spacing w:line="240" w:lineRule="auto"/>
        <w:ind w:firstLine="0" w:firstLineChars="0"/>
        <w:jc w:val="center"/>
        <w:rPr>
          <w:rFonts w:hint="eastAsia" w:ascii="黑体" w:hAnsi="黑体" w:eastAsia="黑体" w:cs="黑体"/>
          <w:color w:val="auto"/>
          <w:sz w:val="28"/>
          <w:szCs w:val="28"/>
          <w:highlight w:val="none"/>
        </w:rPr>
      </w:pP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rPr>
        <w:t>项目编号：</w:t>
      </w:r>
      <w:r>
        <w:rPr>
          <w:rFonts w:hint="eastAsia" w:ascii="黑体" w:hAnsi="黑体" w:eastAsia="黑体" w:cs="黑体"/>
          <w:b/>
          <w:bCs/>
          <w:color w:val="auto"/>
          <w:sz w:val="28"/>
          <w:szCs w:val="28"/>
          <w:highlight w:val="none"/>
          <w:lang w:val="en-US" w:eastAsia="zh-CN"/>
        </w:rPr>
        <w:t>LQ-2026-216</w:t>
      </w:r>
      <w:r>
        <w:rPr>
          <w:rFonts w:hint="eastAsia" w:ascii="黑体" w:hAnsi="黑体" w:eastAsia="黑体" w:cs="黑体"/>
          <w:b/>
          <w:color w:val="auto"/>
          <w:sz w:val="30"/>
          <w:szCs w:val="30"/>
          <w:highlight w:val="none"/>
        </w:rPr>
        <w:t>号</w:t>
      </w:r>
      <w:r>
        <w:rPr>
          <w:rFonts w:hint="eastAsia" w:ascii="黑体" w:hAnsi="黑体" w:eastAsia="黑体" w:cs="黑体"/>
          <w:b/>
          <w:bCs/>
          <w:color w:val="auto"/>
          <w:sz w:val="28"/>
          <w:szCs w:val="28"/>
          <w:highlight w:val="none"/>
          <w:lang w:val="en-US" w:eastAsia="zh-CN"/>
        </w:rPr>
        <w:t xml:space="preserve">）   </w:t>
      </w:r>
    </w:p>
    <w:p w14:paraId="374429BF">
      <w:pPr>
        <w:pStyle w:val="5"/>
        <w:spacing w:before="6"/>
        <w:ind w:firstLine="663"/>
        <w:outlineLvl w:val="9"/>
        <w:rPr>
          <w:rFonts w:hint="eastAsia" w:ascii="黑体" w:hAnsi="黑体" w:eastAsia="黑体" w:cs="黑体"/>
          <w:b/>
          <w:color w:val="auto"/>
          <w:sz w:val="33"/>
          <w:highlight w:val="none"/>
        </w:rPr>
      </w:pPr>
    </w:p>
    <w:p w14:paraId="3BCF3DD5">
      <w:pPr>
        <w:bidi w:val="0"/>
        <w:rPr>
          <w:rFonts w:hint="eastAsia"/>
          <w:color w:val="auto"/>
          <w:highlight w:val="none"/>
        </w:rPr>
      </w:pPr>
    </w:p>
    <w:p w14:paraId="545E6BEA">
      <w:pPr>
        <w:pStyle w:val="5"/>
        <w:spacing w:before="6"/>
        <w:ind w:firstLine="663"/>
        <w:outlineLvl w:val="9"/>
        <w:rPr>
          <w:rFonts w:hint="eastAsia" w:ascii="黑体" w:hAnsi="黑体" w:eastAsia="黑体" w:cs="黑体"/>
          <w:b/>
          <w:color w:val="auto"/>
          <w:sz w:val="33"/>
          <w:highlight w:val="none"/>
        </w:rPr>
      </w:pPr>
    </w:p>
    <w:p w14:paraId="233361E7">
      <w:pPr>
        <w:ind w:firstLine="480"/>
        <w:rPr>
          <w:rFonts w:hint="eastAsia" w:ascii="黑体" w:hAnsi="黑体" w:eastAsia="黑体" w:cs="黑体"/>
          <w:color w:val="auto"/>
          <w:highlight w:val="none"/>
        </w:rPr>
      </w:pPr>
    </w:p>
    <w:p w14:paraId="42004AD0">
      <w:pPr>
        <w:ind w:left="0" w:leftChars="0" w:firstLine="0" w:firstLineChars="0"/>
        <w:jc w:val="both"/>
        <w:rPr>
          <w:rFonts w:hint="eastAsia" w:ascii="黑体" w:hAnsi="黑体" w:eastAsia="黑体" w:cs="黑体"/>
          <w:b/>
          <w:bCs/>
          <w:color w:val="auto"/>
          <w:sz w:val="36"/>
          <w:szCs w:val="36"/>
          <w:highlight w:val="none"/>
        </w:rPr>
      </w:pPr>
    </w:p>
    <w:p w14:paraId="12388264">
      <w:pPr>
        <w:ind w:left="720" w:leftChars="300" w:firstLine="0" w:firstLineChars="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贵州遵义路桥建设集团有限公司</w:t>
      </w:r>
    </w:p>
    <w:p w14:paraId="08FBA8E4">
      <w:pPr>
        <w:ind w:left="720" w:leftChars="300" w:firstLine="0" w:firstLineChars="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2CBEBE0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723" w:firstLineChars="200"/>
        <w:jc w:val="both"/>
        <w:textAlignment w:val="auto"/>
        <w:rPr>
          <w:rFonts w:hint="eastAsia" w:ascii="黑体" w:hAnsi="黑体" w:eastAsia="黑体" w:cs="黑体"/>
          <w:b/>
          <w:bCs/>
          <w:color w:val="auto"/>
          <w:sz w:val="32"/>
          <w:szCs w:val="32"/>
          <w:highlight w:val="none"/>
          <w:lang w:val="zh-TW" w:eastAsia="zh-TW"/>
        </w:rPr>
        <w:sectPr>
          <w:headerReference r:id="rId5" w:type="default"/>
          <w:footerReference r:id="rId6" w:type="default"/>
          <w:pgSz w:w="11905" w:h="16838"/>
          <w:pgMar w:top="1417" w:right="1417" w:bottom="1417" w:left="1417" w:header="720" w:footer="720" w:gutter="0"/>
          <w:cols w:space="720" w:num="1"/>
          <w:docGrid w:linePitch="285" w:charSpace="0"/>
        </w:sectPr>
      </w:pPr>
      <w:r>
        <w:rPr>
          <w:rFonts w:hint="eastAsia" w:ascii="黑体" w:hAnsi="黑体" w:eastAsia="黑体" w:cs="黑体"/>
          <w:b/>
          <w:bCs/>
          <w:color w:val="auto"/>
          <w:sz w:val="36"/>
          <w:szCs w:val="36"/>
          <w:highlight w:val="none"/>
        </w:rPr>
        <w:t>日    期：</w:t>
      </w:r>
      <w:bookmarkStart w:id="0" w:name="_Toc407182659"/>
      <w:bookmarkStart w:id="1" w:name="_Toc407169867"/>
      <w:bookmarkStart w:id="2" w:name="_Toc407182460"/>
      <w:r>
        <w:rPr>
          <w:rFonts w:hint="eastAsia" w:ascii="黑体" w:hAnsi="黑体" w:eastAsia="黑体" w:cs="黑体"/>
          <w:b/>
          <w:bCs/>
          <w:color w:val="auto"/>
          <w:sz w:val="32"/>
          <w:szCs w:val="32"/>
          <w:highlight w:val="none"/>
          <w:lang w:val="zh-TW" w:eastAsia="zh-TW"/>
        </w:rPr>
        <w:t>二〇二</w:t>
      </w:r>
      <w:r>
        <w:rPr>
          <w:rFonts w:hint="eastAsia" w:ascii="黑体" w:hAnsi="黑体" w:eastAsia="黑体" w:cs="黑体"/>
          <w:b/>
          <w:bCs/>
          <w:color w:val="auto"/>
          <w:sz w:val="32"/>
          <w:szCs w:val="32"/>
          <w:highlight w:val="none"/>
          <w:lang w:val="en-US" w:eastAsia="zh-CN"/>
        </w:rPr>
        <w:t>六</w:t>
      </w:r>
      <w:r>
        <w:rPr>
          <w:rFonts w:hint="eastAsia" w:ascii="黑体" w:hAnsi="黑体" w:eastAsia="黑体" w:cs="黑体"/>
          <w:b/>
          <w:bCs/>
          <w:color w:val="auto"/>
          <w:sz w:val="32"/>
          <w:szCs w:val="32"/>
          <w:highlight w:val="none"/>
          <w:lang w:val="zh-TW" w:eastAsia="zh-TW"/>
        </w:rPr>
        <w:t>年</w:t>
      </w:r>
      <w:r>
        <w:rPr>
          <w:rFonts w:hint="eastAsia" w:ascii="黑体" w:hAnsi="黑体" w:eastAsia="黑体" w:cs="黑体"/>
          <w:b/>
          <w:bCs/>
          <w:color w:val="auto"/>
          <w:sz w:val="32"/>
          <w:szCs w:val="32"/>
          <w:highlight w:val="none"/>
          <w:lang w:val="en-US" w:eastAsia="zh-CN"/>
        </w:rPr>
        <w:t>七</w:t>
      </w:r>
      <w:r>
        <w:rPr>
          <w:rFonts w:hint="eastAsia" w:ascii="黑体" w:hAnsi="黑体" w:eastAsia="黑体" w:cs="黑体"/>
          <w:b/>
          <w:bCs/>
          <w:color w:val="auto"/>
          <w:sz w:val="32"/>
          <w:szCs w:val="32"/>
          <w:highlight w:val="none"/>
          <w:lang w:val="zh-TW" w:eastAsia="zh-TW"/>
        </w:rPr>
        <w:t>月</w:t>
      </w:r>
    </w:p>
    <w:p w14:paraId="2A198AB8">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color w:val="auto"/>
          <w:sz w:val="56"/>
          <w:szCs w:val="56"/>
          <w:highlight w:val="none"/>
        </w:rPr>
      </w:pPr>
      <w:r>
        <w:rPr>
          <w:rFonts w:ascii="宋体" w:hAnsi="宋体" w:eastAsia="宋体"/>
          <w:b/>
          <w:bCs/>
          <w:color w:val="auto"/>
          <w:sz w:val="48"/>
          <w:szCs w:val="56"/>
          <w:highlight w:val="none"/>
        </w:rPr>
        <w:t>目</w:t>
      </w:r>
      <w:r>
        <w:rPr>
          <w:rFonts w:hint="eastAsia" w:ascii="宋体" w:hAnsi="宋体" w:eastAsia="宋体"/>
          <w:b/>
          <w:bCs/>
          <w:color w:val="auto"/>
          <w:sz w:val="48"/>
          <w:szCs w:val="56"/>
          <w:highlight w:val="none"/>
          <w:lang w:val="en-US" w:eastAsia="zh-CN"/>
        </w:rPr>
        <w:t xml:space="preserve"> </w:t>
      </w:r>
      <w:r>
        <w:rPr>
          <w:rFonts w:ascii="宋体" w:hAnsi="宋体" w:eastAsia="宋体"/>
          <w:b/>
          <w:bCs/>
          <w:color w:val="auto"/>
          <w:sz w:val="48"/>
          <w:szCs w:val="56"/>
          <w:highlight w:val="none"/>
        </w:rPr>
        <w:t>录</w:t>
      </w:r>
    </w:p>
    <w:p w14:paraId="3156B8BB">
      <w:pPr>
        <w:pStyle w:val="8"/>
        <w:keepNext w:val="0"/>
        <w:keepLines w:val="0"/>
        <w:pageBreakBefore w:val="0"/>
        <w:widowControl w:val="0"/>
        <w:tabs>
          <w:tab w:val="right" w:pos="4800"/>
          <w:tab w:val="right" w:leader="dot" w:pos="9071"/>
          <w:tab w:val="clear" w:pos="8721"/>
        </w:tabs>
        <w:kinsoku/>
        <w:wordWrap/>
        <w:overflowPunct/>
        <w:topLinePunct w:val="0"/>
        <w:autoSpaceDE/>
        <w:autoSpaceDN/>
        <w:bidi w:val="0"/>
        <w:adjustRightInd/>
        <w:snapToGrid/>
        <w:spacing w:line="480" w:lineRule="auto"/>
        <w:textAlignment w:val="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TOC \o "1-1" \h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_Toc25505 </w:instrText>
      </w:r>
      <w:r>
        <w:rPr>
          <w:rFonts w:hint="eastAsia" w:ascii="宋体" w:hAnsi="宋体" w:eastAsia="宋体" w:cs="宋体"/>
          <w:color w:val="auto"/>
          <w:sz w:val="36"/>
          <w:szCs w:val="36"/>
          <w:highlight w:val="none"/>
        </w:rPr>
        <w:fldChar w:fldCharType="separate"/>
      </w:r>
      <w:r>
        <w:rPr>
          <w:rFonts w:hint="eastAsia" w:ascii="宋体" w:hAnsi="宋体" w:eastAsia="宋体" w:cs="宋体"/>
          <w:bCs/>
          <w:color w:val="auto"/>
          <w:kern w:val="0"/>
          <w:sz w:val="36"/>
          <w:szCs w:val="36"/>
          <w:highlight w:val="none"/>
          <w:lang w:val="en-US" w:eastAsia="zh-CN" w:bidi="ar"/>
        </w:rPr>
        <w:t>第一章 谈判采购公告..</w:t>
      </w:r>
      <w:r>
        <w:rPr>
          <w:rFonts w:hint="eastAsia" w:ascii="宋体" w:hAnsi="宋体" w:eastAsia="宋体" w:cs="宋体"/>
          <w:bCs/>
          <w:color w:val="auto"/>
          <w:kern w:val="0"/>
          <w:sz w:val="36"/>
          <w:szCs w:val="36"/>
          <w:highlight w:val="none"/>
          <w:lang w:val="en-US" w:eastAsia="zh-CN" w:bidi="ar"/>
        </w:rPr>
        <w:tab/>
      </w:r>
      <w:r>
        <w:rPr>
          <w:rFonts w:hint="eastAsia" w:ascii="宋体" w:hAnsi="宋体" w:eastAsia="宋体" w:cs="宋体"/>
          <w:bCs/>
          <w:color w:val="auto"/>
          <w:kern w:val="0"/>
          <w:sz w:val="36"/>
          <w:szCs w:val="36"/>
          <w:highlight w:val="none"/>
          <w:lang w:val="en-US" w:eastAsia="zh-CN" w:bidi="ar"/>
        </w:rPr>
        <w:t>......</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_Toc25505 \h </w:instrText>
      </w:r>
      <w:r>
        <w:rPr>
          <w:color w:val="auto"/>
          <w:sz w:val="36"/>
          <w:szCs w:val="36"/>
          <w:highlight w:val="none"/>
        </w:rPr>
        <w:fldChar w:fldCharType="separate"/>
      </w:r>
      <w:r>
        <w:rPr>
          <w:color w:val="auto"/>
          <w:sz w:val="36"/>
          <w:szCs w:val="36"/>
          <w:highlight w:val="none"/>
        </w:rPr>
        <w:t>2</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40AA8D4D">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_Toc19507 </w:instrText>
      </w:r>
      <w:r>
        <w:rPr>
          <w:rFonts w:hint="eastAsia" w:ascii="宋体" w:hAnsi="宋体" w:eastAsia="宋体" w:cs="宋体"/>
          <w:color w:val="auto"/>
          <w:sz w:val="36"/>
          <w:szCs w:val="36"/>
          <w:highlight w:val="none"/>
        </w:rPr>
        <w:fldChar w:fldCharType="separate"/>
      </w:r>
      <w:r>
        <w:rPr>
          <w:rFonts w:hint="eastAsia" w:ascii="宋体" w:hAnsi="宋体" w:eastAsia="宋体" w:cs="宋体"/>
          <w:bCs/>
          <w:color w:val="auto"/>
          <w:kern w:val="0"/>
          <w:sz w:val="36"/>
          <w:szCs w:val="36"/>
          <w:highlight w:val="none"/>
          <w:lang w:bidi="ar"/>
        </w:rPr>
        <w:t>第二章 供应商须知</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_Toc19507 \h </w:instrText>
      </w:r>
      <w:r>
        <w:rPr>
          <w:color w:val="auto"/>
          <w:sz w:val="36"/>
          <w:szCs w:val="36"/>
          <w:highlight w:val="none"/>
        </w:rPr>
        <w:fldChar w:fldCharType="separate"/>
      </w:r>
      <w:r>
        <w:rPr>
          <w:color w:val="auto"/>
          <w:sz w:val="36"/>
          <w:szCs w:val="36"/>
          <w:highlight w:val="none"/>
        </w:rPr>
        <w:t>5</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146FC190">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_Toc120 </w:instrText>
      </w:r>
      <w:r>
        <w:rPr>
          <w:rFonts w:hint="eastAsia" w:ascii="宋体" w:hAnsi="宋体" w:eastAsia="宋体" w:cs="宋体"/>
          <w:color w:val="auto"/>
          <w:sz w:val="36"/>
          <w:szCs w:val="36"/>
          <w:highlight w:val="none"/>
        </w:rPr>
        <w:fldChar w:fldCharType="separate"/>
      </w:r>
      <w:r>
        <w:rPr>
          <w:rFonts w:hint="eastAsia" w:ascii="宋体" w:hAnsi="宋体" w:eastAsia="宋体" w:cs="宋体"/>
          <w:bCs/>
          <w:color w:val="auto"/>
          <w:kern w:val="0"/>
          <w:sz w:val="36"/>
          <w:szCs w:val="36"/>
          <w:highlight w:val="none"/>
          <w:lang w:val="en-US" w:eastAsia="zh-CN" w:bidi="ar"/>
        </w:rPr>
        <w:t>第三章 评标办法（综合评分法）</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_Toc120 \h </w:instrText>
      </w:r>
      <w:r>
        <w:rPr>
          <w:color w:val="auto"/>
          <w:sz w:val="36"/>
          <w:szCs w:val="36"/>
          <w:highlight w:val="none"/>
        </w:rPr>
        <w:fldChar w:fldCharType="separate"/>
      </w:r>
      <w:r>
        <w:rPr>
          <w:color w:val="auto"/>
          <w:sz w:val="36"/>
          <w:szCs w:val="36"/>
          <w:highlight w:val="none"/>
        </w:rPr>
        <w:t>24</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0E11A31E">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_Toc5802 </w:instrText>
      </w:r>
      <w:r>
        <w:rPr>
          <w:rFonts w:hint="eastAsia" w:ascii="宋体" w:hAnsi="宋体" w:eastAsia="宋体" w:cs="宋体"/>
          <w:color w:val="auto"/>
          <w:sz w:val="36"/>
          <w:szCs w:val="36"/>
          <w:highlight w:val="none"/>
        </w:rPr>
        <w:fldChar w:fldCharType="separate"/>
      </w:r>
      <w:r>
        <w:rPr>
          <w:rFonts w:hint="eastAsia" w:ascii="宋体" w:hAnsi="宋体" w:eastAsia="宋体" w:cs="宋体"/>
          <w:bCs/>
          <w:color w:val="auto"/>
          <w:kern w:val="0"/>
          <w:sz w:val="36"/>
          <w:szCs w:val="36"/>
          <w:highlight w:val="none"/>
          <w:lang w:bidi="ar"/>
        </w:rPr>
        <w:t>第四章 合同条款及格式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_Toc5802 \h </w:instrText>
      </w:r>
      <w:r>
        <w:rPr>
          <w:color w:val="auto"/>
          <w:sz w:val="36"/>
          <w:szCs w:val="36"/>
          <w:highlight w:val="none"/>
        </w:rPr>
        <w:fldChar w:fldCharType="separate"/>
      </w:r>
      <w:r>
        <w:rPr>
          <w:color w:val="auto"/>
          <w:sz w:val="36"/>
          <w:szCs w:val="36"/>
          <w:highlight w:val="none"/>
        </w:rPr>
        <w:t>33</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A2DDFF5">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_Toc1090 </w:instrText>
      </w:r>
      <w:r>
        <w:rPr>
          <w:rFonts w:hint="eastAsia" w:ascii="宋体" w:hAnsi="宋体" w:eastAsia="宋体" w:cs="宋体"/>
          <w:color w:val="auto"/>
          <w:sz w:val="36"/>
          <w:szCs w:val="36"/>
          <w:highlight w:val="none"/>
        </w:rPr>
        <w:fldChar w:fldCharType="separate"/>
      </w:r>
      <w:r>
        <w:rPr>
          <w:rFonts w:hint="eastAsia" w:ascii="宋体" w:hAnsi="宋体" w:eastAsia="宋体" w:cs="宋体"/>
          <w:bCs/>
          <w:color w:val="auto"/>
          <w:kern w:val="0"/>
          <w:sz w:val="36"/>
          <w:szCs w:val="36"/>
          <w:highlight w:val="none"/>
          <w:lang w:bidi="ar"/>
        </w:rPr>
        <w:t>第五章 采购内容及要求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_Toc1090 \h </w:instrText>
      </w:r>
      <w:r>
        <w:rPr>
          <w:color w:val="auto"/>
          <w:sz w:val="36"/>
          <w:szCs w:val="36"/>
          <w:highlight w:val="none"/>
        </w:rPr>
        <w:fldChar w:fldCharType="separate"/>
      </w:r>
      <w:r>
        <w:rPr>
          <w:color w:val="auto"/>
          <w:sz w:val="36"/>
          <w:szCs w:val="36"/>
          <w:highlight w:val="none"/>
        </w:rPr>
        <w:t>34</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2AF3606D">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_Toc3935 </w:instrText>
      </w:r>
      <w:r>
        <w:rPr>
          <w:rFonts w:hint="eastAsia" w:ascii="宋体" w:hAnsi="宋体" w:eastAsia="宋体" w:cs="宋体"/>
          <w:color w:val="auto"/>
          <w:sz w:val="36"/>
          <w:szCs w:val="36"/>
          <w:highlight w:val="none"/>
        </w:rPr>
        <w:fldChar w:fldCharType="separate"/>
      </w:r>
      <w:r>
        <w:rPr>
          <w:rFonts w:hint="eastAsia" w:ascii="宋体" w:hAnsi="宋体" w:eastAsia="宋体" w:cs="宋体"/>
          <w:bCs/>
          <w:color w:val="auto"/>
          <w:kern w:val="0"/>
          <w:sz w:val="36"/>
          <w:szCs w:val="36"/>
          <w:highlight w:val="none"/>
          <w:lang w:bidi="ar"/>
        </w:rPr>
        <w:t>第六章  响应文件格式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_Toc3935 \h </w:instrText>
      </w:r>
      <w:r>
        <w:rPr>
          <w:color w:val="auto"/>
          <w:sz w:val="36"/>
          <w:szCs w:val="36"/>
          <w:highlight w:val="none"/>
        </w:rPr>
        <w:fldChar w:fldCharType="separate"/>
      </w:r>
      <w:r>
        <w:rPr>
          <w:color w:val="auto"/>
          <w:sz w:val="36"/>
          <w:szCs w:val="36"/>
          <w:highlight w:val="none"/>
        </w:rPr>
        <w:t>48</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251CC61C">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32"/>
          <w:szCs w:val="32"/>
          <w:highlight w:val="none"/>
        </w:rPr>
        <w:fldChar w:fldCharType="end"/>
      </w:r>
    </w:p>
    <w:p w14:paraId="0FE65495">
      <w:pPr>
        <w:ind w:firstLine="0" w:firstLineChars="0"/>
        <w:rPr>
          <w:rFonts w:hint="eastAsia" w:ascii="宋体" w:hAnsi="宋体" w:eastAsia="宋体" w:cs="宋体"/>
          <w:color w:val="auto"/>
          <w:kern w:val="2"/>
          <w:sz w:val="24"/>
          <w:szCs w:val="24"/>
          <w:highlight w:val="none"/>
          <w:lang w:val="en-US" w:eastAsia="zh-CN" w:bidi="ar-SA"/>
        </w:rPr>
      </w:pPr>
    </w:p>
    <w:p w14:paraId="00EA6FEE">
      <w:pPr>
        <w:pStyle w:val="6"/>
        <w:tabs>
          <w:tab w:val="right" w:leader="dot" w:pos="8721"/>
        </w:tabs>
        <w:spacing w:line="300" w:lineRule="auto"/>
        <w:ind w:left="0" w:leftChars="0" w:firstLine="0" w:firstLineChars="0"/>
        <w:jc w:val="center"/>
        <w:outlineLvl w:val="9"/>
        <w:rPr>
          <w:rFonts w:hint="eastAsia"/>
          <w:color w:val="auto"/>
          <w:highlight w:val="none"/>
        </w:rPr>
      </w:pPr>
      <w:r>
        <w:rPr>
          <w:rFonts w:hint="eastAsia" w:ascii="宋体" w:hAnsi="宋体" w:eastAsia="宋体" w:cs="宋体"/>
          <w:b/>
          <w:bCs/>
          <w:color w:val="auto"/>
          <w:sz w:val="32"/>
          <w:szCs w:val="32"/>
          <w:highlight w:val="none"/>
        </w:rPr>
        <w:br w:type="page"/>
      </w:r>
      <w:bookmarkEnd w:id="0"/>
      <w:bookmarkEnd w:id="1"/>
      <w:bookmarkEnd w:id="2"/>
      <w:bookmarkStart w:id="3" w:name="_Toc407169868"/>
      <w:bookmarkStart w:id="4" w:name="_Toc407182660"/>
    </w:p>
    <w:p w14:paraId="4C4E4988">
      <w:pPr>
        <w:pStyle w:val="2"/>
        <w:pageBreakBefore w:val="0"/>
        <w:kinsoku/>
        <w:wordWrap/>
        <w:overflowPunct/>
        <w:topLinePunct w:val="0"/>
        <w:autoSpaceDE/>
        <w:autoSpaceDN/>
        <w:bidi w:val="0"/>
        <w:spacing w:line="500" w:lineRule="exact"/>
        <w:ind w:left="0" w:firstLine="420" w:firstLineChars="0"/>
        <w:jc w:val="center"/>
        <w:textAlignment w:val="auto"/>
        <w:rPr>
          <w:rFonts w:hint="eastAsia"/>
          <w:color w:val="auto"/>
          <w:highlight w:val="none"/>
          <w:lang w:eastAsia="zh-CN"/>
        </w:rPr>
      </w:pPr>
      <w:bookmarkStart w:id="5" w:name="_Toc25505"/>
      <w:r>
        <w:rPr>
          <w:rFonts w:hint="eastAsia" w:ascii="宋体" w:hAnsi="宋体" w:eastAsia="宋体" w:cs="宋体"/>
          <w:b/>
          <w:bCs/>
          <w:color w:val="auto"/>
          <w:kern w:val="0"/>
          <w:sz w:val="31"/>
          <w:szCs w:val="31"/>
          <w:highlight w:val="none"/>
          <w:lang w:val="en-US" w:eastAsia="zh-CN" w:bidi="ar"/>
        </w:rPr>
        <w:fldChar w:fldCharType="begin"/>
      </w:r>
      <w:r>
        <w:rPr>
          <w:rFonts w:hint="eastAsia" w:ascii="宋体" w:hAnsi="宋体" w:eastAsia="宋体" w:cs="宋体"/>
          <w:b/>
          <w:bCs/>
          <w:color w:val="auto"/>
          <w:kern w:val="0"/>
          <w:sz w:val="31"/>
          <w:szCs w:val="31"/>
          <w:highlight w:val="none"/>
          <w:lang w:val="en-US" w:eastAsia="zh-CN" w:bidi="ar"/>
        </w:rPr>
        <w:instrText xml:space="preserve"> HYPERLINK \l "_Toc11211" </w:instrText>
      </w:r>
      <w:r>
        <w:rPr>
          <w:rFonts w:hint="eastAsia" w:ascii="宋体" w:hAnsi="宋体" w:eastAsia="宋体" w:cs="宋体"/>
          <w:b/>
          <w:bCs/>
          <w:color w:val="auto"/>
          <w:kern w:val="0"/>
          <w:sz w:val="31"/>
          <w:szCs w:val="31"/>
          <w:highlight w:val="none"/>
          <w:lang w:val="en-US" w:eastAsia="zh-CN" w:bidi="ar"/>
        </w:rPr>
        <w:fldChar w:fldCharType="separate"/>
      </w:r>
      <w:r>
        <w:rPr>
          <w:rFonts w:hint="eastAsia" w:ascii="宋体" w:hAnsi="宋体" w:eastAsia="宋体" w:cs="宋体"/>
          <w:b/>
          <w:bCs/>
          <w:color w:val="auto"/>
          <w:kern w:val="0"/>
          <w:sz w:val="31"/>
          <w:szCs w:val="31"/>
          <w:highlight w:val="none"/>
          <w:lang w:val="en-US" w:eastAsia="zh-CN" w:bidi="ar"/>
        </w:rPr>
        <w:t>第一章 谈判采购公告</w:t>
      </w:r>
      <w:r>
        <w:rPr>
          <w:rFonts w:hint="eastAsia" w:ascii="宋体" w:hAnsi="宋体" w:eastAsia="宋体" w:cs="宋体"/>
          <w:b/>
          <w:bCs/>
          <w:color w:val="auto"/>
          <w:kern w:val="0"/>
          <w:sz w:val="31"/>
          <w:szCs w:val="31"/>
          <w:highlight w:val="none"/>
          <w:lang w:val="en-US" w:eastAsia="zh-CN" w:bidi="ar"/>
        </w:rPr>
        <w:tab/>
      </w:r>
      <w:r>
        <w:rPr>
          <w:rFonts w:hint="eastAsia" w:ascii="宋体" w:hAnsi="宋体" w:eastAsia="宋体" w:cs="宋体"/>
          <w:b/>
          <w:bCs/>
          <w:color w:val="auto"/>
          <w:kern w:val="0"/>
          <w:sz w:val="31"/>
          <w:szCs w:val="31"/>
          <w:highlight w:val="none"/>
          <w:lang w:val="en-US" w:eastAsia="zh-CN" w:bidi="ar"/>
        </w:rPr>
        <w:fldChar w:fldCharType="end"/>
      </w:r>
      <w:bookmarkEnd w:id="5"/>
    </w:p>
    <w:p w14:paraId="479D58F0">
      <w:pPr>
        <w:pageBreakBefore w:val="0"/>
        <w:kinsoku/>
        <w:wordWrap/>
        <w:overflowPunct/>
        <w:topLinePunct w:val="0"/>
        <w:autoSpaceDE/>
        <w:autoSpaceDN/>
        <w:bidi w:val="0"/>
        <w:spacing w:line="500" w:lineRule="exact"/>
        <w:ind w:left="0" w:firstLine="480" w:firstLineChars="200"/>
        <w:jc w:val="both"/>
        <w:textAlignment w:val="auto"/>
        <w:rPr>
          <w:rFonts w:hint="eastAsia" w:ascii="宋体" w:hAnsi="宋体" w:eastAsia="宋体" w:cs="宋体"/>
          <w:b/>
          <w:bCs/>
          <w:color w:val="auto"/>
          <w:kern w:val="0"/>
          <w:sz w:val="32"/>
          <w:szCs w:val="32"/>
          <w:highlight w:val="none"/>
          <w:lang w:bidi="ar"/>
        </w:rPr>
      </w:pPr>
      <w:r>
        <w:rPr>
          <w:rFonts w:hint="eastAsia" w:ascii="宋体" w:hAnsi="宋体" w:eastAsia="宋体" w:cs="宋体"/>
          <w:color w:val="auto"/>
          <w:highlight w:val="none"/>
        </w:rPr>
        <w:t>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遵义交科工程检测有限公司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受</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shd w:val="clear" w:color="auto" w:fill="FFFFFF"/>
          <w:lang w:eastAsia="zh-CN"/>
        </w:rPr>
        <w:t>贵州遵义路桥建设集团有限公司</w:t>
      </w:r>
      <w:r>
        <w:rPr>
          <w:rFonts w:hint="eastAsia" w:ascii="宋体" w:hAnsi="宋体" w:eastAsia="宋体" w:cs="宋体"/>
          <w:color w:val="auto"/>
          <w:highlight w:val="none"/>
        </w:rPr>
        <w:t>（采购人） 委托，就</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shd w:val="clear" w:color="auto" w:fill="FFFFFF"/>
          <w:lang w:eastAsia="zh-CN"/>
        </w:rPr>
        <w:t>仁怀市中枢第四小学改扩建项目弱电工程专业分包采购</w:t>
      </w:r>
      <w:r>
        <w:rPr>
          <w:rFonts w:hint="eastAsia" w:ascii="宋体" w:hAnsi="宋体" w:eastAsia="宋体" w:cs="宋体"/>
          <w:b/>
          <w:bCs/>
          <w:color w:val="auto"/>
          <w:highlight w:val="none"/>
          <w:u w:val="single"/>
          <w:shd w:val="clear" w:color="auto" w:fill="FFFFFF"/>
          <w:lang w:val="en-US" w:eastAsia="zh-CN"/>
        </w:rPr>
        <w:t xml:space="preserve"> </w:t>
      </w:r>
      <w:r>
        <w:rPr>
          <w:rFonts w:hint="eastAsia" w:ascii="宋体" w:hAnsi="宋体" w:eastAsia="宋体" w:cs="宋体"/>
          <w:color w:val="auto"/>
          <w:highlight w:val="none"/>
        </w:rPr>
        <w:t>项目进行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谈判</w:t>
      </w:r>
      <w:r>
        <w:rPr>
          <w:rFonts w:hint="eastAsia" w:ascii="宋体" w:hAnsi="宋体" w:eastAsia="宋体" w:cs="宋体"/>
          <w:color w:val="auto"/>
          <w:highlight w:val="none"/>
          <w:u w:val="single"/>
        </w:rPr>
        <w:t>采购</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综合评分法</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选择一家供应商，本项目采用资格后审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，特公开邀请符合条件的单位前来参与。</w:t>
      </w:r>
    </w:p>
    <w:p w14:paraId="6D91E819">
      <w:pPr>
        <w:pageBreakBefore w:val="0"/>
        <w:widowControl/>
        <w:kinsoku/>
        <w:wordWrap/>
        <w:overflowPunct/>
        <w:topLinePunct w:val="0"/>
        <w:autoSpaceDE/>
        <w:autoSpaceDN/>
        <w:bidi w:val="0"/>
        <w:adjustRightInd w:val="0"/>
        <w:snapToGrid w:val="0"/>
        <w:spacing w:line="500" w:lineRule="exact"/>
        <w:ind w:left="0" w:firstLine="482"/>
        <w:jc w:val="both"/>
        <w:textAlignment w:val="auto"/>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一、项目基本概况</w:t>
      </w:r>
    </w:p>
    <w:p w14:paraId="4CACCC3C">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eastAsia="宋体" w:cs="宋体"/>
          <w:color w:val="auto"/>
          <w:highlight w:val="none"/>
          <w:u w:val="single"/>
          <w:lang w:val="en-US" w:eastAsia="zh-CN"/>
        </w:rPr>
        <w:t>LQ-2026-216</w:t>
      </w:r>
    </w:p>
    <w:p w14:paraId="705CE856">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eastAsia="宋体" w:cs="宋体"/>
          <w:b/>
          <w:bCs/>
          <w:color w:val="auto"/>
          <w:highlight w:val="none"/>
          <w:u w:val="none"/>
          <w:shd w:val="clear" w:color="auto" w:fill="FFFFFF"/>
          <w:lang w:eastAsia="zh-CN"/>
        </w:rPr>
        <w:t>仁怀市中枢第四小学改扩建项目弱电工程专业分包采购。</w:t>
      </w:r>
    </w:p>
    <w:p w14:paraId="189B60B1">
      <w:pPr>
        <w:keepNext w:val="0"/>
        <w:keepLines w:val="0"/>
        <w:pageBreakBefore w:val="0"/>
        <w:kinsoku/>
        <w:wordWrap/>
        <w:overflowPunct/>
        <w:topLinePunct w:val="0"/>
        <w:bidi w:val="0"/>
        <w:spacing w:line="500" w:lineRule="exact"/>
        <w:ind w:firstLine="480" w:firstLineChars="200"/>
        <w:jc w:val="both"/>
        <w:textAlignment w:val="auto"/>
        <w:rPr>
          <w:rFonts w:hint="default" w:ascii="宋体" w:hAnsi="宋体" w:eastAsia="宋体" w:cs="宋体"/>
          <w:color w:val="auto"/>
          <w:highlight w:val="yellow"/>
          <w:u w:val="none"/>
          <w:lang w:val="en-US" w:eastAsia="zh-CN"/>
        </w:rPr>
      </w:pPr>
      <w:r>
        <w:rPr>
          <w:rFonts w:hint="eastAsia" w:ascii="宋体" w:hAnsi="宋体" w:eastAsia="宋体" w:cs="宋体"/>
          <w:color w:val="auto"/>
          <w:highlight w:val="none"/>
          <w:lang w:val="en-US" w:eastAsia="zh-CN"/>
        </w:rPr>
        <w:t>3、项目概况：</w:t>
      </w:r>
      <w:r>
        <w:rPr>
          <w:rFonts w:hint="eastAsia" w:ascii="宋体" w:hAnsi="宋体" w:eastAsia="宋体" w:cs="宋体"/>
          <w:b/>
          <w:bCs/>
          <w:color w:val="auto"/>
          <w:highlight w:val="none"/>
          <w:u w:val="single"/>
          <w:shd w:val="clear" w:color="auto" w:fill="FFFFFF"/>
          <w:lang w:eastAsia="zh-CN"/>
        </w:rPr>
        <w:t>仁怀市中枢第四小学改扩建项目弱电工程专业分包采购。</w:t>
      </w:r>
    </w:p>
    <w:p w14:paraId="18393401">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4、采购方式：公开谈判采购（综合评分）。</w:t>
      </w:r>
    </w:p>
    <w:p w14:paraId="2AB7DA67">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5、工期：180日历天。</w:t>
      </w:r>
    </w:p>
    <w:p w14:paraId="40A30D80">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6、（服务）质量要求：符合国家、地方及行业现行有关施工质量验收规范标准，符合发包人要求，一次性验收合格。</w:t>
      </w:r>
    </w:p>
    <w:p w14:paraId="69CF854C">
      <w:pPr>
        <w:pageBreakBefore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w:t>
      </w:r>
      <w:r>
        <w:rPr>
          <w:rFonts w:hint="eastAsia" w:ascii="宋体" w:hAnsi="宋体" w:eastAsia="宋体" w:cs="宋体"/>
          <w:b/>
          <w:bCs/>
          <w:color w:val="auto"/>
          <w:highlight w:val="none"/>
          <w:lang w:val="en-US" w:eastAsia="zh-CN"/>
        </w:rPr>
        <w:t>不接受联合体</w:t>
      </w:r>
      <w:r>
        <w:rPr>
          <w:rFonts w:hint="eastAsia" w:ascii="宋体" w:hAnsi="宋体" w:eastAsia="宋体" w:cs="宋体"/>
          <w:color w:val="auto"/>
          <w:highlight w:val="none"/>
          <w:lang w:val="en-US" w:eastAsia="zh-CN"/>
        </w:rPr>
        <w:t>。</w:t>
      </w:r>
    </w:p>
    <w:p w14:paraId="70256E6B">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lang w:val="en-US" w:eastAsia="zh-CN"/>
        </w:rPr>
        <w:t>8、采购预算：</w:t>
      </w:r>
      <w:r>
        <w:rPr>
          <w:rFonts w:hint="eastAsia" w:ascii="宋体" w:hAnsi="宋体" w:eastAsia="宋体" w:cs="宋体"/>
          <w:b/>
          <w:bCs w:val="0"/>
          <w:color w:val="auto"/>
          <w:highlight w:val="none"/>
          <w:lang w:val="en-US" w:eastAsia="zh-CN"/>
        </w:rPr>
        <w:t>159772.96元（不含税）</w:t>
      </w:r>
      <w:r>
        <w:rPr>
          <w:rFonts w:hint="eastAsia" w:ascii="宋体" w:hAnsi="宋体" w:eastAsia="宋体" w:cs="宋体"/>
          <w:b w:val="0"/>
          <w:bCs/>
          <w:color w:val="auto"/>
          <w:highlight w:val="none"/>
          <w:lang w:val="en-US" w:eastAsia="zh-CN"/>
        </w:rPr>
        <w:t>，</w:t>
      </w:r>
      <w:r>
        <w:rPr>
          <w:rFonts w:hint="eastAsia" w:ascii="宋体" w:hAnsi="宋体" w:eastAsia="宋体" w:cs="宋体"/>
          <w:b w:val="0"/>
          <w:bCs/>
          <w:color w:val="auto"/>
          <w:highlight w:val="none"/>
          <w:shd w:val="clear" w:color="auto" w:fill="FFFFFF"/>
          <w:lang w:val="en-US" w:eastAsia="zh-CN"/>
        </w:rPr>
        <w:t>详见第五章采购清单。</w:t>
      </w:r>
    </w:p>
    <w:p w14:paraId="1FAE9A23">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shd w:val="clear" w:color="auto" w:fill="FFFFFF"/>
          <w:lang w:val="en-US" w:eastAsia="zh-CN"/>
        </w:rPr>
        <w:t>9、项目地点：采购人指定地点。</w:t>
      </w:r>
    </w:p>
    <w:p w14:paraId="398AF6A9">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shd w:val="clear" w:color="auto" w:fill="FFFFFF"/>
          <w:lang w:val="en-US" w:eastAsia="zh-CN"/>
        </w:rPr>
        <w:t>10、安全目标：杜绝较大以上事故、遏制一般事故、重伤率不超过0.5‰、轻伤率不超过2‰。</w:t>
      </w:r>
    </w:p>
    <w:p w14:paraId="38979024">
      <w:pPr>
        <w:pageBreakBefore w:val="0"/>
        <w:widowControl/>
        <w:kinsoku/>
        <w:wordWrap/>
        <w:overflowPunct/>
        <w:topLinePunct w:val="0"/>
        <w:autoSpaceDE/>
        <w:autoSpaceDN/>
        <w:bidi w:val="0"/>
        <w:adjustRightInd w:val="0"/>
        <w:snapToGrid w:val="0"/>
        <w:spacing w:line="500" w:lineRule="exact"/>
        <w:ind w:left="0" w:firstLine="482"/>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二、资格要求</w:t>
      </w:r>
    </w:p>
    <w:p w14:paraId="31D3AE57">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1、具备独立承担民事责任的能力：</w:t>
      </w:r>
      <w:r>
        <w:rPr>
          <w:rFonts w:hint="eastAsia" w:ascii="宋体" w:hAnsi="宋体" w:eastAsia="宋体" w:cs="宋体"/>
          <w:color w:val="auto"/>
          <w:highlight w:val="none"/>
          <w:lang w:eastAsia="zh-CN"/>
        </w:rPr>
        <w:t>提供法人或其他组织的营业执照（或事业单位法人证书）复印件加盖供应商公章；</w:t>
      </w:r>
    </w:p>
    <w:p w14:paraId="14DC851F">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2、具有履行合同所必需的设备和专业技术能力：需附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供应商履约能力承诺书，格式内容详见响应文件格式；</w:t>
      </w:r>
    </w:p>
    <w:p w14:paraId="53338CDC">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响应单位公章，查询时间为本公告发布之日起至响应文件递交截止之日止）</w:t>
      </w:r>
      <w:r>
        <w:rPr>
          <w:rFonts w:hint="eastAsia" w:ascii="宋体" w:hAnsi="宋体" w:eastAsia="宋体" w:cs="宋体"/>
          <w:color w:val="auto"/>
          <w:highlight w:val="none"/>
        </w:rPr>
        <w:t>；</w:t>
      </w:r>
    </w:p>
    <w:p w14:paraId="0BBA0BEB">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4、依法缴纳税收和社会保障资金的相关材料：提供2026年任意一个月的纳税证明和社保缴纳证明，或承诺书，加盖供应商单位公章；</w:t>
      </w:r>
    </w:p>
    <w:p w14:paraId="7673C446">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5、具有良好的商业信誉和健全的财务会计制度：提供2024年度或2025年度经第三方审计的财务报告或基本开户银行出具和社的资信证明，或承诺书，加盖供应商单位公章）；</w:t>
      </w:r>
    </w:p>
    <w:p w14:paraId="3DC2CB14">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6、参加本次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活动前三年内，在经营活动中没有违法违规记录：提供参加</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活动前3年内在经营活动中没有重大违法记录的书面声明；</w:t>
      </w:r>
    </w:p>
    <w:p w14:paraId="22D521F8">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7、特殊资格要求：</w:t>
      </w:r>
    </w:p>
    <w:p w14:paraId="7719FE69">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both"/>
        <w:textAlignment w:val="auto"/>
        <w:rPr>
          <w:rFonts w:hint="default" w:ascii="宋体" w:hAnsi="宋体" w:eastAsia="宋体" w:cs="宋体"/>
          <w:color w:val="auto"/>
          <w:highlight w:val="none"/>
          <w:lang w:val="en-US" w:eastAsia="zh-CN"/>
        </w:rPr>
      </w:pPr>
      <w:r>
        <w:rPr>
          <w:rFonts w:hint="default" w:ascii="宋体" w:hAnsi="宋体" w:eastAsia="宋体" w:cs="宋体"/>
          <w:b/>
          <w:bCs/>
          <w:color w:val="auto"/>
          <w:highlight w:val="none"/>
          <w:lang w:val="en-US" w:eastAsia="zh-CN"/>
        </w:rPr>
        <w:t>分包单位资质要求：</w:t>
      </w:r>
      <w:r>
        <w:rPr>
          <w:rFonts w:hint="eastAsia" w:ascii="宋体" w:hAnsi="宋体" w:eastAsia="宋体" w:cs="宋体"/>
          <w:color w:val="auto"/>
          <w:highlight w:val="none"/>
          <w:lang w:val="en-US" w:eastAsia="zh-CN"/>
        </w:rPr>
        <w:t>具备有效的电子与智能化工程专业承包二级及以上资质证书、安全生产许可证；</w:t>
      </w:r>
    </w:p>
    <w:p w14:paraId="5F53304B">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both"/>
        <w:textAlignment w:val="auto"/>
        <w:rPr>
          <w:rFonts w:hint="default" w:ascii="宋体" w:hAnsi="宋体" w:eastAsia="宋体" w:cs="宋体"/>
          <w:color w:val="auto"/>
          <w:highlight w:val="none"/>
          <w:lang w:val="en-US" w:eastAsia="zh-CN"/>
        </w:rPr>
      </w:pPr>
      <w:r>
        <w:rPr>
          <w:rFonts w:hint="default" w:ascii="宋体" w:hAnsi="宋体" w:eastAsia="宋体" w:cs="宋体"/>
          <w:b/>
          <w:bCs/>
          <w:color w:val="auto"/>
          <w:highlight w:val="none"/>
          <w:lang w:val="en-US" w:eastAsia="zh-CN"/>
        </w:rPr>
        <w:t>人员要求：</w:t>
      </w:r>
      <w:r>
        <w:rPr>
          <w:rFonts w:hint="eastAsia" w:ascii="宋体" w:hAnsi="宋体" w:eastAsia="宋体" w:cs="宋体"/>
          <w:color w:val="auto"/>
          <w:highlight w:val="none"/>
          <w:lang w:val="en-US" w:eastAsia="zh-CN"/>
        </w:rPr>
        <w:t>共4人，其中现场负责人1名（具备机电工程专业二级注册建造师及建安B证）、现场施工员1名、安全员1名、材料负责人（材料员）1名，要求具有相关施工管理经验，安全员需具备建设行政主管部门颁发的安全生产考核合格证书（C类），且必须注册在分包单位，其他岗位人员需提供对应岗位证书或任职证明。成交供应商应根据《建筑施工企业、工程项目安全生产管理机构设置及安全生产管理人员配备办法》配足专职安全管理人员，参与采购的所有供应商须作出承诺</w:t>
      </w:r>
      <w:r>
        <w:rPr>
          <w:rFonts w:hint="default" w:ascii="宋体" w:hAnsi="宋体" w:eastAsia="宋体" w:cs="宋体"/>
          <w:color w:val="auto"/>
          <w:highlight w:val="none"/>
          <w:lang w:val="en-US" w:eastAsia="zh-CN"/>
        </w:rPr>
        <w:t>。其他岗位人员要求具有相关施工管理经验，并附对应的岗位证书或任职证明，并提交相应承诺函。</w:t>
      </w:r>
    </w:p>
    <w:p w14:paraId="225923AA">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三、获取</w:t>
      </w:r>
      <w:r>
        <w:rPr>
          <w:rFonts w:hint="eastAsia" w:ascii="宋体" w:hAnsi="宋体" w:eastAsia="宋体" w:cs="宋体"/>
          <w:b/>
          <w:bCs/>
          <w:color w:val="auto"/>
          <w:highlight w:val="none"/>
          <w:shd w:val="clear" w:color="auto" w:fill="FFFFFF"/>
          <w:lang w:eastAsia="zh-CN"/>
        </w:rPr>
        <w:t>谈判采购</w:t>
      </w:r>
      <w:r>
        <w:rPr>
          <w:rFonts w:hint="eastAsia" w:ascii="宋体" w:hAnsi="宋体" w:eastAsia="宋体" w:cs="宋体"/>
          <w:b/>
          <w:bCs/>
          <w:color w:val="auto"/>
          <w:highlight w:val="none"/>
          <w:shd w:val="clear" w:color="auto" w:fill="FFFFFF"/>
        </w:rPr>
        <w:t>文件的时间、地点、方式</w:t>
      </w:r>
    </w:p>
    <w:p w14:paraId="6B0E0A43">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3.1.时间：202</w:t>
      </w:r>
      <w:r>
        <w:rPr>
          <w:rFonts w:hint="eastAsia" w:ascii="宋体" w:hAnsi="宋体" w:eastAsia="宋体" w:cs="宋体"/>
          <w:color w:val="auto"/>
          <w:highlight w:val="none"/>
          <w:shd w:val="clear" w:color="auto" w:fill="FFFFFF"/>
          <w:lang w:val="en-US" w:eastAsia="zh-CN"/>
        </w:rPr>
        <w:t>6</w:t>
      </w:r>
      <w:r>
        <w:rPr>
          <w:rFonts w:hint="eastAsia" w:ascii="宋体" w:hAnsi="宋体" w:eastAsia="宋体" w:cs="宋体"/>
          <w:color w:val="auto"/>
          <w:highlight w:val="none"/>
          <w:shd w:val="clear" w:color="auto" w:fill="FFFFFF"/>
        </w:rPr>
        <w:t>年</w:t>
      </w:r>
      <w:r>
        <w:rPr>
          <w:rFonts w:hint="eastAsia" w:ascii="宋体" w:hAnsi="宋体" w:eastAsia="宋体" w:cs="宋体"/>
          <w:color w:val="auto"/>
          <w:highlight w:val="none"/>
          <w:shd w:val="clear" w:color="auto" w:fill="FFFFFF"/>
          <w:lang w:val="en-US" w:eastAsia="zh-CN"/>
        </w:rPr>
        <w:t xml:space="preserve"> 7 </w:t>
      </w:r>
      <w:r>
        <w:rPr>
          <w:rFonts w:hint="eastAsia" w:ascii="宋体" w:hAnsi="宋体" w:eastAsia="宋体" w:cs="宋体"/>
          <w:color w:val="auto"/>
          <w:highlight w:val="none"/>
          <w:shd w:val="clear" w:color="auto" w:fill="FFFFFF"/>
        </w:rPr>
        <w:t>月</w:t>
      </w: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rPr>
        <w:t>日至202</w:t>
      </w:r>
      <w:r>
        <w:rPr>
          <w:rFonts w:hint="eastAsia" w:ascii="宋体" w:hAnsi="宋体" w:eastAsia="宋体" w:cs="宋体"/>
          <w:color w:val="auto"/>
          <w:highlight w:val="none"/>
          <w:shd w:val="clear" w:color="auto" w:fill="FFFFFF"/>
          <w:lang w:val="en-US" w:eastAsia="zh-CN"/>
        </w:rPr>
        <w:t>6</w:t>
      </w:r>
      <w:r>
        <w:rPr>
          <w:rFonts w:hint="eastAsia" w:ascii="宋体" w:hAnsi="宋体" w:eastAsia="宋体" w:cs="宋体"/>
          <w:color w:val="auto"/>
          <w:highlight w:val="none"/>
          <w:shd w:val="clear" w:color="auto" w:fill="FFFFFF"/>
        </w:rPr>
        <w:t>年</w:t>
      </w:r>
      <w:r>
        <w:rPr>
          <w:rFonts w:hint="eastAsia" w:ascii="宋体" w:hAnsi="宋体" w:eastAsia="宋体" w:cs="宋体"/>
          <w:color w:val="auto"/>
          <w:highlight w:val="none"/>
          <w:shd w:val="clear" w:color="auto" w:fill="FFFFFF"/>
          <w:lang w:val="en-US" w:eastAsia="zh-CN"/>
        </w:rPr>
        <w:t xml:space="preserve"> 7 </w:t>
      </w:r>
      <w:r>
        <w:rPr>
          <w:rFonts w:hint="eastAsia" w:ascii="宋体" w:hAnsi="宋体" w:eastAsia="宋体" w:cs="宋体"/>
          <w:color w:val="auto"/>
          <w:highlight w:val="none"/>
          <w:shd w:val="clear" w:color="auto" w:fill="FFFFFF"/>
        </w:rPr>
        <w:t>月</w:t>
      </w: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rPr>
        <w:t>日，每天上午09</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00至12</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00时，下午14</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00至17</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00时（北京时间，法定节假日除外），地点：遵义交科工程检测有限公司（遵义市新蒲新区兴遵西路8号）获取采购文件，文件售价0元。</w:t>
      </w:r>
    </w:p>
    <w:p w14:paraId="0B65486F">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3.2.获取文件联系电话：</w:t>
      </w:r>
      <w:r>
        <w:rPr>
          <w:rFonts w:hint="eastAsia" w:ascii="宋体" w:hAnsi="宋体" w:eastAsia="宋体" w:cs="宋体"/>
          <w:color w:val="auto"/>
          <w:highlight w:val="none"/>
          <w:shd w:val="clear" w:color="auto" w:fill="FFFFFF"/>
          <w:lang w:eastAsia="zh-CN"/>
        </w:rPr>
        <w:t>14786196965</w:t>
      </w:r>
      <w:r>
        <w:rPr>
          <w:rFonts w:hint="eastAsia" w:ascii="宋体" w:hAnsi="宋体" w:eastAsia="宋体" w:cs="宋体"/>
          <w:color w:val="auto"/>
          <w:highlight w:val="none"/>
          <w:shd w:val="clear" w:color="auto" w:fill="FFFFFF"/>
        </w:rPr>
        <w:t>。</w:t>
      </w:r>
    </w:p>
    <w:p w14:paraId="304840CB">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3.4、提交响应文件截止时间、开标时间和地点：</w:t>
      </w:r>
      <w:r>
        <w:rPr>
          <w:rFonts w:hint="eastAsia" w:ascii="宋体" w:hAnsi="宋体" w:eastAsia="宋体" w:cs="宋体"/>
          <w:color w:val="auto"/>
          <w:highlight w:val="none"/>
          <w:shd w:val="clear" w:color="auto" w:fill="FFFFFF"/>
          <w:lang w:eastAsia="zh-CN"/>
        </w:rPr>
        <w:t>2026年</w:t>
      </w:r>
      <w:r>
        <w:rPr>
          <w:rFonts w:hint="eastAsia" w:ascii="宋体" w:hAnsi="宋体" w:eastAsia="宋体" w:cs="宋体"/>
          <w:color w:val="auto"/>
          <w:highlight w:val="none"/>
          <w:shd w:val="clear" w:color="auto" w:fill="FFFFFF"/>
          <w:lang w:val="en-US" w:eastAsia="zh-CN"/>
        </w:rPr>
        <w:t xml:space="preserve"> 7 </w:t>
      </w:r>
      <w:r>
        <w:rPr>
          <w:rFonts w:hint="eastAsia" w:ascii="宋体" w:hAnsi="宋体" w:eastAsia="宋体" w:cs="宋体"/>
          <w:color w:val="auto"/>
          <w:highlight w:val="none"/>
          <w:shd w:val="clear" w:color="auto" w:fill="FFFFFF"/>
          <w:lang w:eastAsia="zh-CN"/>
        </w:rPr>
        <w:t>月</w:t>
      </w: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lang w:eastAsia="zh-CN"/>
        </w:rPr>
        <w:t>日</w:t>
      </w:r>
      <w:r>
        <w:rPr>
          <w:rFonts w:hint="eastAsia" w:ascii="宋体" w:hAnsi="宋体" w:eastAsia="宋体" w:cs="宋体"/>
          <w:color w:val="auto"/>
          <w:highlight w:val="none"/>
          <w:shd w:val="clear" w:color="auto" w:fill="FFFFFF"/>
          <w:lang w:val="en-US" w:eastAsia="zh-CN"/>
        </w:rPr>
        <w:t xml:space="preserve">  时    分</w:t>
      </w:r>
      <w:r>
        <w:rPr>
          <w:rFonts w:hint="eastAsia" w:ascii="宋体" w:hAnsi="宋体" w:eastAsia="宋体" w:cs="宋体"/>
          <w:color w:val="auto"/>
          <w:highlight w:val="none"/>
          <w:shd w:val="clear" w:color="auto" w:fill="FFFFFF"/>
        </w:rPr>
        <w:t>（北京时间）。</w:t>
      </w:r>
    </w:p>
    <w:p w14:paraId="1C2F83D5">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递交地点：遵义交科工程检测有限公司（遵义市新蒲新区兴遵西路8号）。</w:t>
      </w:r>
    </w:p>
    <w:p w14:paraId="3A4E50B9">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w:t>
      </w:r>
      <w:r>
        <w:rPr>
          <w:rFonts w:hint="eastAsia" w:ascii="宋体" w:hAnsi="宋体" w:eastAsia="宋体" w:cs="宋体"/>
          <w:color w:val="auto"/>
          <w:highlight w:val="none"/>
          <w:shd w:val="clear" w:color="auto" w:fill="FFFFFF"/>
          <w:lang w:val="en-US" w:eastAsia="zh-CN"/>
        </w:rPr>
        <w:t>5</w:t>
      </w:r>
      <w:r>
        <w:rPr>
          <w:rFonts w:hint="eastAsia" w:ascii="宋体" w:hAnsi="宋体" w:eastAsia="宋体" w:cs="宋体"/>
          <w:color w:val="auto"/>
          <w:highlight w:val="none"/>
          <w:shd w:val="clear" w:color="auto" w:fill="FFFFFF"/>
        </w:rPr>
        <w:t>、公告发布网址：</w:t>
      </w:r>
      <w:r>
        <w:rPr>
          <w:rFonts w:hint="eastAsia" w:ascii="宋体" w:hAnsi="宋体" w:eastAsia="宋体" w:cs="宋体"/>
          <w:color w:val="auto"/>
          <w:highlight w:val="none"/>
          <w:shd w:val="clear" w:color="auto" w:fill="FFFFFF"/>
          <w:lang w:eastAsia="zh-CN"/>
        </w:rPr>
        <w:t>贵州遵义路桥建设集团有限公司官网</w:t>
      </w:r>
      <w:r>
        <w:rPr>
          <w:rFonts w:hint="eastAsia" w:ascii="宋体" w:hAnsi="宋体" w:eastAsia="宋体" w:cs="宋体"/>
          <w:color w:val="auto"/>
          <w:highlight w:val="none"/>
          <w:shd w:val="clear" w:color="auto" w:fill="FFFFFF"/>
        </w:rPr>
        <w:t>和贵州省招标投标公共服务平台同步公示。</w:t>
      </w:r>
    </w:p>
    <w:p w14:paraId="52DA393E">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w:t>
      </w:r>
      <w:r>
        <w:rPr>
          <w:rFonts w:hint="eastAsia" w:ascii="宋体" w:hAnsi="宋体" w:eastAsia="宋体" w:cs="宋体"/>
          <w:color w:val="auto"/>
          <w:highlight w:val="none"/>
          <w:shd w:val="clear" w:color="auto" w:fill="FFFFFF"/>
          <w:lang w:val="en-US" w:eastAsia="zh-CN"/>
        </w:rPr>
        <w:t>6</w:t>
      </w:r>
      <w:r>
        <w:rPr>
          <w:rFonts w:hint="eastAsia" w:ascii="宋体" w:hAnsi="宋体" w:eastAsia="宋体" w:cs="宋体"/>
          <w:color w:val="auto"/>
          <w:highlight w:val="none"/>
          <w:shd w:val="clear" w:color="auto" w:fill="FFFFFF"/>
        </w:rPr>
        <w:t>、获取采购文件时需提交：</w:t>
      </w:r>
    </w:p>
    <w:p w14:paraId="747B4C90">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（1）有效的营业执照、资质证书（正本或副本）加盖供应商公章的复印件；</w:t>
      </w:r>
    </w:p>
    <w:p w14:paraId="1F17FAAB">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法定代表人获取采购文件的，提供法定代表人身份证明原件、身份证原件（或电子身份证）及复印件（加盖供应商单位公章），授权委托人获取磋商文件的，提供法定代表人授权委托书原件、委托代理人身份证原件（或电子身份证）及复印件（加盖供应商单位公章）。</w:t>
      </w:r>
    </w:p>
    <w:p w14:paraId="04BFA88D">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四、发布公告的媒介</w:t>
      </w:r>
    </w:p>
    <w:p w14:paraId="216ECF7F">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本项目信息在</w:t>
      </w:r>
      <w:r>
        <w:rPr>
          <w:rFonts w:hint="eastAsia" w:ascii="宋体" w:hAnsi="宋体" w:eastAsia="宋体" w:cs="宋体"/>
          <w:color w:val="auto"/>
          <w:highlight w:val="none"/>
          <w:shd w:val="clear" w:color="auto" w:fill="FFFFFF"/>
          <w:lang w:eastAsia="zh-CN"/>
        </w:rPr>
        <w:t>贵州遵义路桥建设集团有限公司官网</w:t>
      </w:r>
      <w:r>
        <w:rPr>
          <w:rFonts w:hint="eastAsia" w:ascii="宋体" w:hAnsi="宋体" w:eastAsia="宋体" w:cs="宋体"/>
          <w:color w:val="auto"/>
          <w:highlight w:val="none"/>
          <w:shd w:val="clear" w:color="auto" w:fill="FFFFFF"/>
        </w:rPr>
        <w:t>和贵州省招标投标公共服务平台同步公示。</w:t>
      </w:r>
    </w:p>
    <w:p w14:paraId="40F8BD45">
      <w:pPr>
        <w:pageBreakBefore w:val="0"/>
        <w:widowControl/>
        <w:numPr>
          <w:ilvl w:val="0"/>
          <w:numId w:val="0"/>
        </w:numPr>
        <w:kinsoku/>
        <w:wordWrap/>
        <w:overflowPunct/>
        <w:topLinePunct w:val="0"/>
        <w:autoSpaceDE/>
        <w:autoSpaceDN/>
        <w:bidi w:val="0"/>
        <w:adjustRightInd w:val="0"/>
        <w:snapToGrid w:val="0"/>
        <w:spacing w:line="500" w:lineRule="exact"/>
        <w:ind w:left="0" w:leftChars="0" w:firstLine="482" w:firstLineChars="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kern w:val="2"/>
          <w:sz w:val="24"/>
          <w:szCs w:val="24"/>
          <w:highlight w:val="none"/>
          <w:shd w:val="clear" w:fill="FFFFFF"/>
          <w:lang w:val="en-US" w:eastAsia="zh-CN" w:bidi="ar-SA"/>
        </w:rPr>
        <w:t>五、</w:t>
      </w:r>
      <w:r>
        <w:rPr>
          <w:rFonts w:hint="eastAsia" w:ascii="宋体" w:hAnsi="宋体" w:eastAsia="宋体" w:cs="宋体"/>
          <w:b/>
          <w:bCs/>
          <w:color w:val="auto"/>
          <w:highlight w:val="none"/>
          <w:shd w:val="clear" w:color="auto" w:fill="FFFFFF"/>
        </w:rPr>
        <w:t>凡对本次采购提出询问，请按以下方式联系</w:t>
      </w:r>
    </w:p>
    <w:p w14:paraId="5F0514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0977BF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14:paraId="6BD8A1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highlight w:val="none"/>
          <w:shd w:val="clear" w:color="auto" w:fill="FFFFFF"/>
          <w:lang w:eastAsia="zh-CN"/>
        </w:rPr>
      </w:pPr>
      <w:r>
        <w:rPr>
          <w:rFonts w:hint="eastAsia" w:ascii="宋体" w:hAnsi="宋体" w:eastAsia="宋体" w:cs="宋体"/>
          <w:b w:val="0"/>
          <w:bCs w:val="0"/>
          <w:color w:val="auto"/>
          <w:sz w:val="24"/>
          <w:szCs w:val="24"/>
          <w:highlight w:val="none"/>
          <w:lang w:val="en-US" w:eastAsia="zh-CN"/>
        </w:rPr>
        <w:t>名    称：</w:t>
      </w:r>
      <w:r>
        <w:rPr>
          <w:rFonts w:hint="eastAsia" w:ascii="宋体" w:hAnsi="宋体" w:eastAsia="宋体" w:cs="宋体"/>
          <w:bCs/>
          <w:color w:val="auto"/>
          <w:highlight w:val="none"/>
          <w:shd w:val="clear" w:color="auto" w:fill="FFFFFF"/>
          <w:lang w:eastAsia="zh-CN"/>
        </w:rPr>
        <w:t>贵州遵义路桥建设集团有限公司</w:t>
      </w:r>
    </w:p>
    <w:p w14:paraId="44918D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址：遵义市新蒲新区长征大道与娄山路交汇处遵义路桥集团</w:t>
      </w:r>
    </w:p>
    <w:p w14:paraId="361F1630">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人：邱腾</w:t>
      </w:r>
    </w:p>
    <w:p w14:paraId="322F8671">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联系方式：15685337377</w:t>
      </w:r>
    </w:p>
    <w:p w14:paraId="036EDC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 w:val="0"/>
          <w:bCs w:val="0"/>
          <w:color w:val="auto"/>
          <w:sz w:val="24"/>
          <w:szCs w:val="24"/>
          <w:highlight w:val="none"/>
          <w:lang w:val="en-US" w:eastAsia="zh-CN"/>
        </w:rPr>
      </w:pPr>
    </w:p>
    <w:p w14:paraId="1DC79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14:paraId="427C8E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称：遵义交科工程检测有限公司</w:t>
      </w:r>
    </w:p>
    <w:p w14:paraId="0EB4B7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址：遵义市新蒲新区兴遵西路8号</w:t>
      </w:r>
    </w:p>
    <w:p w14:paraId="5111C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人：曾先生、鲍忠宇、马礼艳</w:t>
      </w:r>
    </w:p>
    <w:p w14:paraId="65EE5C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联系方式：14786196965、15285003298、15329429519</w:t>
      </w:r>
    </w:p>
    <w:p w14:paraId="3448768D">
      <w:pPr>
        <w:spacing w:line="324" w:lineRule="auto"/>
        <w:ind w:left="0" w:leftChars="0" w:right="561" w:firstLine="0" w:firstLineChars="0"/>
        <w:jc w:val="center"/>
        <w:outlineLvl w:val="0"/>
        <w:rPr>
          <w:rFonts w:hint="eastAsia" w:ascii="宋体" w:hAnsi="宋体" w:eastAsia="宋体" w:cs="宋体"/>
          <w:b/>
          <w:bCs/>
          <w:color w:val="auto"/>
          <w:highlight w:val="none"/>
        </w:rPr>
      </w:pPr>
      <w:bookmarkStart w:id="6" w:name="_Toc15903"/>
      <w:r>
        <w:rPr>
          <w:rFonts w:hint="eastAsia" w:ascii="宋体" w:hAnsi="宋体" w:eastAsia="宋体" w:cs="宋体"/>
          <w:b/>
          <w:bCs/>
          <w:color w:val="auto"/>
          <w:highlight w:val="none"/>
        </w:rPr>
        <w:br w:type="page"/>
      </w:r>
      <w:bookmarkEnd w:id="3"/>
      <w:bookmarkEnd w:id="4"/>
      <w:bookmarkEnd w:id="6"/>
      <w:bookmarkStart w:id="7" w:name="_Toc19507"/>
      <w:bookmarkStart w:id="8" w:name="_Toc8555"/>
      <w:bookmarkStart w:id="9" w:name="_Toc407182661"/>
      <w:bookmarkStart w:id="10" w:name="_Toc407169869"/>
      <w:bookmarkStart w:id="11" w:name="_Toc3666"/>
      <w:r>
        <w:rPr>
          <w:rFonts w:hint="eastAsia" w:ascii="宋体" w:hAnsi="宋体" w:eastAsia="宋体" w:cs="宋体"/>
          <w:b/>
          <w:bCs/>
          <w:color w:val="auto"/>
          <w:kern w:val="0"/>
          <w:sz w:val="31"/>
          <w:szCs w:val="31"/>
          <w:highlight w:val="none"/>
          <w:lang w:bidi="ar"/>
        </w:rPr>
        <w:t>第二章 供应商须知</w:t>
      </w:r>
      <w:bookmarkEnd w:id="7"/>
      <w:bookmarkEnd w:id="8"/>
    </w:p>
    <w:p w14:paraId="43948AD3">
      <w:pPr>
        <w:pStyle w:val="16"/>
        <w:snapToGrid w:val="0"/>
        <w:spacing w:line="360" w:lineRule="auto"/>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供应商须知前附表</w:t>
      </w:r>
    </w:p>
    <w:tbl>
      <w:tblPr>
        <w:tblStyle w:val="1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1483"/>
        <w:gridCol w:w="7052"/>
      </w:tblGrid>
      <w:tr w14:paraId="7496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8933A06">
            <w:pPr>
              <w:adjustRightInd w:val="0"/>
              <w:snapToGrid w:val="0"/>
              <w:spacing w:line="30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position w:val="-3"/>
                <w:highlight w:val="none"/>
              </w:rPr>
              <w:t>条款号</w:t>
            </w:r>
          </w:p>
        </w:tc>
        <w:tc>
          <w:tcPr>
            <w:tcW w:w="1483" w:type="dxa"/>
            <w:vAlign w:val="center"/>
          </w:tcPr>
          <w:p w14:paraId="367272A3">
            <w:pPr>
              <w:tabs>
                <w:tab w:val="left" w:pos="600"/>
                <w:tab w:val="left" w:pos="1080"/>
                <w:tab w:val="left" w:pos="1560"/>
              </w:tabs>
              <w:adjustRightInd w:val="0"/>
              <w:snapToGrid w:val="0"/>
              <w:spacing w:line="30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position w:val="-3"/>
                <w:highlight w:val="none"/>
              </w:rPr>
              <w:t>条款名称</w:t>
            </w:r>
          </w:p>
        </w:tc>
        <w:tc>
          <w:tcPr>
            <w:tcW w:w="7052" w:type="dxa"/>
            <w:vAlign w:val="center"/>
          </w:tcPr>
          <w:p w14:paraId="2FAC8E52">
            <w:pPr>
              <w:tabs>
                <w:tab w:val="left" w:pos="520"/>
                <w:tab w:val="left" w:pos="1000"/>
                <w:tab w:val="left" w:pos="1480"/>
              </w:tabs>
              <w:adjustRightInd w:val="0"/>
              <w:snapToGrid w:val="0"/>
              <w:spacing w:line="30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0B4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3936AF4">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1483" w:type="dxa"/>
            <w:vAlign w:val="center"/>
          </w:tcPr>
          <w:p w14:paraId="5310CDE5">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7052" w:type="dxa"/>
            <w:vAlign w:val="center"/>
          </w:tcPr>
          <w:p w14:paraId="385487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贵州遵义路桥建设集团有限公司</w:t>
            </w:r>
          </w:p>
          <w:p w14:paraId="280AAA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sz w:val="24"/>
                <w:szCs w:val="24"/>
                <w:highlight w:val="none"/>
                <w:lang w:val="en-US" w:eastAsia="zh-CN"/>
              </w:rPr>
              <w:t>地    址：遵义市新蒲新区长征大道与娄山路交汇处遵义路桥集团</w:t>
            </w:r>
          </w:p>
          <w:p w14:paraId="6D66DC37">
            <w:pPr>
              <w:widowControl/>
              <w:adjustRightInd w:val="0"/>
              <w:snapToGrid w:val="0"/>
              <w:spacing w:line="324"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人：邱腾</w:t>
            </w:r>
          </w:p>
          <w:p w14:paraId="595AF6D2">
            <w:pPr>
              <w:widowControl/>
              <w:adjustRightInd w:val="0"/>
              <w:snapToGrid w:val="0"/>
              <w:spacing w:line="324"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val="0"/>
                <w:bCs w:val="0"/>
                <w:color w:val="auto"/>
                <w:sz w:val="24"/>
                <w:szCs w:val="24"/>
                <w:highlight w:val="none"/>
                <w:lang w:val="en-US" w:eastAsia="zh-CN"/>
              </w:rPr>
              <w:t>联系方式：15685337377</w:t>
            </w:r>
          </w:p>
        </w:tc>
      </w:tr>
      <w:tr w14:paraId="6F9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287CD8B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1483" w:type="dxa"/>
            <w:vAlign w:val="center"/>
          </w:tcPr>
          <w:p w14:paraId="037709A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代理机构</w:t>
            </w:r>
          </w:p>
        </w:tc>
        <w:tc>
          <w:tcPr>
            <w:tcW w:w="7052" w:type="dxa"/>
            <w:vAlign w:val="center"/>
          </w:tcPr>
          <w:p w14:paraId="22680FD9">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采购代理机构全称：遵义交科工程检测有限公司</w:t>
            </w:r>
          </w:p>
          <w:p w14:paraId="2CDD5D49">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联系地址：遵义市新蒲新区兴遵西路8号</w:t>
            </w:r>
          </w:p>
          <w:p w14:paraId="03807281">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项目联系人：曾先生、鲍忠宇、马礼艳</w:t>
            </w:r>
          </w:p>
          <w:p w14:paraId="28C87E5D">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color w:val="auto"/>
                <w:highlight w:val="none"/>
              </w:rPr>
            </w:pPr>
            <w:r>
              <w:rPr>
                <w:rFonts w:hint="eastAsia" w:ascii="宋体" w:hAnsi="宋体" w:eastAsia="宋体" w:cs="宋体"/>
                <w:b w:val="0"/>
                <w:bCs w:val="0"/>
                <w:color w:val="auto"/>
                <w:spacing w:val="0"/>
                <w:sz w:val="24"/>
                <w:highlight w:val="none"/>
                <w:lang w:val="en-US" w:eastAsia="zh-CN"/>
              </w:rPr>
              <w:t>联系电话：14786196965、15285003298、15329429519</w:t>
            </w:r>
          </w:p>
        </w:tc>
      </w:tr>
      <w:tr w14:paraId="5EB2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DF2D67B">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1483" w:type="dxa"/>
            <w:vAlign w:val="center"/>
          </w:tcPr>
          <w:p w14:paraId="078141A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052" w:type="dxa"/>
            <w:vAlign w:val="center"/>
          </w:tcPr>
          <w:p w14:paraId="45BE1FD0">
            <w:pPr>
              <w:autoSpaceDE w:val="0"/>
              <w:autoSpaceDN w:val="0"/>
              <w:adjustRightInd w:val="0"/>
              <w:snapToGrid w:val="0"/>
              <w:spacing w:line="300" w:lineRule="auto"/>
              <w:ind w:left="120" w:leftChars="50" w:right="120" w:rightChars="50" w:firstLine="0" w:firstLineChars="0"/>
              <w:rPr>
                <w:rFonts w:hint="default" w:ascii="宋体" w:hAnsi="宋体" w:eastAsia="宋体" w:cs="宋体"/>
                <w:color w:val="auto"/>
                <w:highlight w:val="none"/>
                <w:lang w:val="en-US" w:eastAsia="zh-CN"/>
              </w:rPr>
            </w:pPr>
            <w:r>
              <w:rPr>
                <w:rFonts w:hint="eastAsia" w:ascii="宋体" w:hAnsi="宋体" w:eastAsia="宋体" w:cs="宋体"/>
                <w:b w:val="0"/>
                <w:bCs w:val="0"/>
                <w:color w:val="auto"/>
                <w:highlight w:val="none"/>
                <w:u w:val="none"/>
                <w:shd w:val="clear" w:color="auto" w:fill="FFFFFF"/>
                <w:lang w:eastAsia="zh-CN"/>
              </w:rPr>
              <w:t>仁怀市中枢第四小学改扩建项目弱电工程专业分包采购</w:t>
            </w:r>
          </w:p>
        </w:tc>
      </w:tr>
      <w:tr w14:paraId="7B5F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970" w:type="dxa"/>
            <w:vAlign w:val="center"/>
          </w:tcPr>
          <w:p w14:paraId="2DB4676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1483" w:type="dxa"/>
            <w:vAlign w:val="center"/>
          </w:tcPr>
          <w:p w14:paraId="47E3BC4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服务地点</w:t>
            </w:r>
          </w:p>
        </w:tc>
        <w:tc>
          <w:tcPr>
            <w:tcW w:w="7052" w:type="dxa"/>
            <w:vAlign w:val="center"/>
          </w:tcPr>
          <w:p w14:paraId="05ABAB6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采购人指定地点</w:t>
            </w:r>
          </w:p>
        </w:tc>
      </w:tr>
      <w:tr w14:paraId="75BE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6E8AD9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483" w:type="dxa"/>
            <w:vAlign w:val="center"/>
          </w:tcPr>
          <w:p w14:paraId="29FBE5D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采购预算</w:t>
            </w:r>
          </w:p>
        </w:tc>
        <w:tc>
          <w:tcPr>
            <w:tcW w:w="7052" w:type="dxa"/>
            <w:vAlign w:val="center"/>
          </w:tcPr>
          <w:p w14:paraId="3EA6274A">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bCs w:val="0"/>
                <w:color w:val="auto"/>
                <w:highlight w:val="none"/>
                <w:lang w:val="en-US" w:eastAsia="zh-CN"/>
              </w:rPr>
              <w:t>160920.88元（不含税）</w:t>
            </w:r>
          </w:p>
        </w:tc>
      </w:tr>
      <w:tr w14:paraId="69A8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5D7221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483" w:type="dxa"/>
            <w:vAlign w:val="center"/>
          </w:tcPr>
          <w:p w14:paraId="26DC2C5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7052" w:type="dxa"/>
            <w:vAlign w:val="center"/>
          </w:tcPr>
          <w:p w14:paraId="12743EA6">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企业自筹</w:t>
            </w:r>
          </w:p>
        </w:tc>
      </w:tr>
      <w:tr w14:paraId="6108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970" w:type="dxa"/>
            <w:vAlign w:val="center"/>
          </w:tcPr>
          <w:p w14:paraId="127173EB">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483" w:type="dxa"/>
            <w:vAlign w:val="center"/>
          </w:tcPr>
          <w:p w14:paraId="2E5953CC">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7052" w:type="dxa"/>
            <w:vAlign w:val="center"/>
          </w:tcPr>
          <w:p w14:paraId="622C0A69">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已落实</w:t>
            </w:r>
          </w:p>
        </w:tc>
      </w:tr>
      <w:tr w14:paraId="6C99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A77C29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483" w:type="dxa"/>
            <w:vAlign w:val="center"/>
          </w:tcPr>
          <w:p w14:paraId="64134467">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7052" w:type="dxa"/>
            <w:vAlign w:val="center"/>
          </w:tcPr>
          <w:p w14:paraId="1BF074AF">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auto"/>
                <w:highlight w:val="none"/>
                <w:u w:val="none"/>
                <w:shd w:val="clear" w:color="auto" w:fill="FFFFFF"/>
                <w:lang w:eastAsia="zh-CN"/>
              </w:rPr>
              <w:t>仁怀市中枢第四小学改扩建项目弱电工程专业分包采购</w:t>
            </w:r>
            <w:r>
              <w:rPr>
                <w:rFonts w:hint="eastAsia" w:ascii="宋体" w:hAnsi="宋体" w:eastAsia="宋体" w:cs="宋体"/>
                <w:bCs/>
                <w:color w:val="auto"/>
                <w:highlight w:val="none"/>
                <w:shd w:val="clear" w:color="auto" w:fill="FFFFFF"/>
                <w:lang w:val="en-US" w:eastAsia="zh-CN"/>
              </w:rPr>
              <w:t>（具体详见采购文件第五章）</w:t>
            </w:r>
          </w:p>
        </w:tc>
      </w:tr>
      <w:tr w14:paraId="2F6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05E3DC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483" w:type="dxa"/>
            <w:vAlign w:val="center"/>
          </w:tcPr>
          <w:p w14:paraId="2D62C453">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w:t>
            </w:r>
          </w:p>
        </w:tc>
        <w:tc>
          <w:tcPr>
            <w:tcW w:w="7052" w:type="dxa"/>
            <w:vAlign w:val="center"/>
          </w:tcPr>
          <w:p w14:paraId="1F5E5760">
            <w:pPr>
              <w:ind w:left="0" w:leftChars="0" w:firstLine="240" w:firstLineChars="10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180日历天。</w:t>
            </w:r>
          </w:p>
        </w:tc>
      </w:tr>
      <w:tr w14:paraId="160A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680008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483" w:type="dxa"/>
            <w:vAlign w:val="center"/>
          </w:tcPr>
          <w:p w14:paraId="75F06C6D">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要求</w:t>
            </w:r>
          </w:p>
        </w:tc>
        <w:tc>
          <w:tcPr>
            <w:tcW w:w="7052" w:type="dxa"/>
            <w:vAlign w:val="center"/>
          </w:tcPr>
          <w:p w14:paraId="7CA6214A">
            <w:pPr>
              <w:autoSpaceDE w:val="0"/>
              <w:autoSpaceDN w:val="0"/>
              <w:adjustRightInd w:val="0"/>
              <w:snapToGrid w:val="0"/>
              <w:spacing w:line="300" w:lineRule="auto"/>
              <w:ind w:left="120" w:leftChars="50" w:right="120" w:rightChars="5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符合国家、地方及行业现行有关施工质量验收规范标准，符合发包人要求，一次性验收合格</w:t>
            </w:r>
          </w:p>
        </w:tc>
      </w:tr>
      <w:tr w14:paraId="28E3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A143E0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483" w:type="dxa"/>
            <w:vAlign w:val="center"/>
          </w:tcPr>
          <w:p w14:paraId="1803A69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供应商资质条件</w:t>
            </w:r>
          </w:p>
        </w:tc>
        <w:tc>
          <w:tcPr>
            <w:tcW w:w="7052" w:type="dxa"/>
            <w:vAlign w:val="center"/>
          </w:tcPr>
          <w:p w14:paraId="11967D7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（一）申请人的资格要求</w:t>
            </w:r>
          </w:p>
          <w:p w14:paraId="4C7BBFB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（1）具备独立承担民事责任的能力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提供法人或其他组织的营业执照（或事业单位法人证书）复印件加盖供应商公章</w:t>
            </w:r>
            <w:r>
              <w:rPr>
                <w:rFonts w:hint="eastAsia" w:ascii="宋体" w:hAnsi="宋体" w:eastAsia="宋体" w:cs="宋体"/>
                <w:color w:val="auto"/>
                <w:highlight w:val="none"/>
                <w:lang w:eastAsia="zh-CN"/>
              </w:rPr>
              <w:t>；</w:t>
            </w:r>
          </w:p>
          <w:p w14:paraId="6F14550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（2）具有履行合同所必需的设备和专业技术能力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供应商履约能力承诺书，(承诺书格式自拟)；</w:t>
            </w:r>
          </w:p>
          <w:p w14:paraId="1455575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r>
              <w:rPr>
                <w:rFonts w:hint="eastAsia" w:ascii="宋体" w:hAnsi="宋体" w:eastAsia="宋体" w:cs="宋体"/>
                <w:color w:val="auto"/>
                <w:highlight w:val="none"/>
                <w:u w:val="none"/>
              </w:rPr>
              <w:t>提供网页截图并加盖</w:t>
            </w:r>
            <w:r>
              <w:rPr>
                <w:rFonts w:hint="eastAsia" w:ascii="宋体" w:hAnsi="宋体" w:eastAsia="宋体" w:cs="宋体"/>
                <w:color w:val="auto"/>
                <w:highlight w:val="none"/>
                <w:u w:val="none"/>
                <w:lang w:eastAsia="zh-CN"/>
              </w:rPr>
              <w:t>响应</w:t>
            </w:r>
            <w:r>
              <w:rPr>
                <w:rFonts w:hint="eastAsia" w:ascii="宋体" w:hAnsi="宋体" w:eastAsia="宋体" w:cs="宋体"/>
                <w:color w:val="auto"/>
                <w:highlight w:val="none"/>
                <w:u w:val="none"/>
              </w:rPr>
              <w:t>单位公章</w:t>
            </w:r>
            <w:r>
              <w:rPr>
                <w:rFonts w:hint="eastAsia" w:ascii="宋体" w:hAnsi="宋体" w:eastAsia="宋体" w:cs="宋体"/>
                <w:color w:val="auto"/>
                <w:highlight w:val="none"/>
                <w:u w:val="none"/>
                <w:lang w:eastAsia="zh-CN"/>
              </w:rPr>
              <w:t>，查询时间为本公告发布之日起至响应文件递交截止之日止</w:t>
            </w:r>
            <w:r>
              <w:rPr>
                <w:rFonts w:hint="eastAsia" w:ascii="宋体" w:hAnsi="宋体" w:eastAsia="宋体" w:cs="宋体"/>
                <w:color w:val="auto"/>
                <w:highlight w:val="none"/>
                <w:u w:val="none"/>
              </w:rPr>
              <w:t>）</w:t>
            </w:r>
          </w:p>
          <w:p w14:paraId="4170A32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（4）依法缴纳税收和社会保障资金的相关材料：提供2026年任意一个月的纳税证明和社保缴纳证明，或承诺书，加盖供应商单位公章。</w:t>
            </w:r>
          </w:p>
          <w:p w14:paraId="5B6FA20B">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（5）具有良好的商业信誉和健全的财务会计制度：提供2024年度或2025年度经第三方审计的财务报告或基本开户银行出具和社的资信证明，或承诺书，加盖供应商单位公章）；</w:t>
            </w:r>
          </w:p>
          <w:p w14:paraId="295F32CF">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（6）参加本次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活动前三年内，在经营活动中没有违法违规记录：提供参加</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活动前3年内在经营活动中没有重大违法记录的书面声明；</w:t>
            </w:r>
          </w:p>
          <w:p w14:paraId="5757DF93">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（7）特殊资格要求：</w:t>
            </w:r>
          </w:p>
          <w:p w14:paraId="1CBD733F">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分包单位资质要求：</w:t>
            </w:r>
            <w:r>
              <w:rPr>
                <w:rFonts w:hint="eastAsia" w:ascii="宋体" w:hAnsi="宋体" w:eastAsia="宋体" w:cs="宋体"/>
                <w:color w:val="auto"/>
                <w:highlight w:val="none"/>
                <w:lang w:val="en-US" w:eastAsia="zh-CN"/>
              </w:rPr>
              <w:t>具备有效的电子与智能化工程专业承包二级及以上资质证书、安全生产许可证；</w:t>
            </w:r>
          </w:p>
          <w:p w14:paraId="3C0E2C7A">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人员要求：</w:t>
            </w:r>
            <w:r>
              <w:rPr>
                <w:rFonts w:hint="eastAsia" w:ascii="宋体" w:hAnsi="宋体" w:eastAsia="宋体" w:cs="宋体"/>
                <w:color w:val="auto"/>
                <w:highlight w:val="none"/>
                <w:lang w:val="en-US" w:eastAsia="zh-CN"/>
              </w:rPr>
              <w:t>共4人，其中现场负责人1名（具备机电工程专业二级注册建造师及建安B证）、现场施工员1名、安全员1名、材料负责人（材料员）1名，要求具有相关施工管理经验，安全员需具备建设行政主管部门颁发的安全生产考核合格证书（C类），且必须注册在分包单位，其他岗位人员需提供对应岗位证书或任职证明。成交供应商应根据《建筑施工企业、工程项目安全生产管理机构设置及安全生产管理人员配备办法》配足专职安全管理人员，参与采购的所有供应商须作出承诺。其他岗位人员要求具有相关施工管理经验，并附对应的岗位证书或任职证明，并提交相应承诺函。</w:t>
            </w:r>
          </w:p>
          <w:p w14:paraId="7A79324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注：以上所有材料需加盖公章。</w:t>
            </w:r>
          </w:p>
        </w:tc>
      </w:tr>
      <w:tr w14:paraId="48A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31A7AFFF">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483" w:type="dxa"/>
            <w:vAlign w:val="center"/>
          </w:tcPr>
          <w:p w14:paraId="01AB719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供应商其它要求</w:t>
            </w:r>
          </w:p>
        </w:tc>
        <w:tc>
          <w:tcPr>
            <w:tcW w:w="7052" w:type="dxa"/>
            <w:vAlign w:val="center"/>
          </w:tcPr>
          <w:p w14:paraId="545E9A8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1、近三年企业信誉良好，无重大质量、安全事故及市场违法违规不良行为记录；企业没有处于被责令停业、投标资格被取消、财产被接管、冻结、破产状态。</w:t>
            </w:r>
          </w:p>
        </w:tc>
      </w:tr>
      <w:tr w14:paraId="095D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7BB19D7">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483" w:type="dxa"/>
            <w:vAlign w:val="center"/>
          </w:tcPr>
          <w:p w14:paraId="78F3C83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7052" w:type="dxa"/>
            <w:vAlign w:val="center"/>
          </w:tcPr>
          <w:p w14:paraId="4CC64F9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不接受</w:t>
            </w:r>
          </w:p>
          <w:p w14:paraId="5010E40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接受，应满足下列要求： </w:t>
            </w:r>
          </w:p>
        </w:tc>
      </w:tr>
      <w:tr w14:paraId="4197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EA022B8">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483" w:type="dxa"/>
            <w:vAlign w:val="center"/>
          </w:tcPr>
          <w:p w14:paraId="4A9FD6A4">
            <w:pPr>
              <w:widowControl/>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kern w:val="0"/>
                <w:highlight w:val="none"/>
                <w:lang w:bidi="ar"/>
              </w:rPr>
              <w:t>费用承担</w:t>
            </w:r>
          </w:p>
        </w:tc>
        <w:tc>
          <w:tcPr>
            <w:tcW w:w="7052" w:type="dxa"/>
            <w:vAlign w:val="center"/>
          </w:tcPr>
          <w:p w14:paraId="17FBFE3E">
            <w:pPr>
              <w:widowControl/>
              <w:adjustRightInd w:val="0"/>
              <w:snapToGrid w:val="0"/>
              <w:spacing w:line="324" w:lineRule="auto"/>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供应商准备和参加投标活动发生的费用自理。 </w:t>
            </w:r>
          </w:p>
        </w:tc>
      </w:tr>
      <w:tr w14:paraId="7CAC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78CD12C">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483" w:type="dxa"/>
            <w:vAlign w:val="center"/>
          </w:tcPr>
          <w:p w14:paraId="5C70CD1D">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7052" w:type="dxa"/>
            <w:vAlign w:val="center"/>
          </w:tcPr>
          <w:p w14:paraId="3AF5F92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☑不组织</w:t>
            </w:r>
          </w:p>
          <w:p w14:paraId="5CE8212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□组织，踏勘时间：           踏勘集中地点：</w:t>
            </w:r>
          </w:p>
        </w:tc>
      </w:tr>
      <w:tr w14:paraId="07D3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527811F8">
            <w:pPr>
              <w:adjustRightInd w:val="0"/>
              <w:snapToGrid w:val="0"/>
              <w:spacing w:before="43" w:line="240" w:lineRule="auto"/>
              <w:ind w:left="131"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483" w:type="dxa"/>
            <w:vAlign w:val="center"/>
          </w:tcPr>
          <w:p w14:paraId="433EB6FC">
            <w:pPr>
              <w:adjustRightInd w:val="0"/>
              <w:snapToGrid w:val="0"/>
              <w:spacing w:before="43" w:line="240" w:lineRule="auto"/>
              <w:ind w:left="10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7052" w:type="dxa"/>
            <w:vAlign w:val="center"/>
          </w:tcPr>
          <w:p w14:paraId="01C0D35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☑不召开</w:t>
            </w:r>
          </w:p>
          <w:p w14:paraId="7E35295A">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□召开，召开时间及地点：</w:t>
            </w:r>
          </w:p>
        </w:tc>
      </w:tr>
      <w:tr w14:paraId="4A6F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AAEE249">
            <w:pPr>
              <w:adjustRightInd w:val="0"/>
              <w:snapToGrid w:val="0"/>
              <w:spacing w:before="74" w:line="240" w:lineRule="auto"/>
              <w:ind w:left="131"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483" w:type="dxa"/>
            <w:vAlign w:val="center"/>
          </w:tcPr>
          <w:p w14:paraId="25C6A16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供应商提出问题的截止时间</w:t>
            </w:r>
          </w:p>
        </w:tc>
        <w:tc>
          <w:tcPr>
            <w:tcW w:w="7052" w:type="dxa"/>
            <w:vAlign w:val="center"/>
          </w:tcPr>
          <w:p w14:paraId="459892E4">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p>
          <w:p w14:paraId="5BAD0E13">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形式：通过书面形式要求采购人对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文件予以澄清。</w:t>
            </w:r>
          </w:p>
        </w:tc>
      </w:tr>
      <w:tr w14:paraId="07B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52A8725">
            <w:pPr>
              <w:adjustRightInd w:val="0"/>
              <w:snapToGrid w:val="0"/>
              <w:spacing w:before="74" w:line="240" w:lineRule="auto"/>
              <w:ind w:left="131"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483" w:type="dxa"/>
            <w:vAlign w:val="center"/>
          </w:tcPr>
          <w:p w14:paraId="289B652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采购人书面澄清的时间</w:t>
            </w:r>
          </w:p>
        </w:tc>
        <w:tc>
          <w:tcPr>
            <w:tcW w:w="7052" w:type="dxa"/>
            <w:vAlign w:val="center"/>
          </w:tcPr>
          <w:p w14:paraId="5958C15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日通过“</w:t>
            </w:r>
            <w:r>
              <w:rPr>
                <w:rFonts w:hint="eastAsia" w:ascii="宋体" w:hAnsi="宋体" w:eastAsia="宋体" w:cs="宋体"/>
                <w:color w:val="auto"/>
                <w:highlight w:val="none"/>
                <w:lang w:eastAsia="zh-CN"/>
              </w:rPr>
              <w:t>本项目信息在贵州遵义路桥建设集团有限公司官网和贵州省招标投标公共服务平台同步公示</w:t>
            </w:r>
            <w:r>
              <w:rPr>
                <w:rFonts w:hint="eastAsia" w:ascii="宋体" w:hAnsi="宋体" w:eastAsia="宋体" w:cs="宋体"/>
                <w:color w:val="auto"/>
                <w:highlight w:val="none"/>
              </w:rPr>
              <w:t>”发出</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文件澄清。</w:t>
            </w:r>
          </w:p>
        </w:tc>
      </w:tr>
      <w:tr w14:paraId="1240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4E0AA61">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483" w:type="dxa"/>
            <w:vAlign w:val="center"/>
          </w:tcPr>
          <w:p w14:paraId="2B182671">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7052" w:type="dxa"/>
            <w:vAlign w:val="center"/>
          </w:tcPr>
          <w:p w14:paraId="45BFFC1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☑不允许</w:t>
            </w:r>
          </w:p>
          <w:p w14:paraId="76758DF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□允许</w:t>
            </w:r>
          </w:p>
        </w:tc>
      </w:tr>
      <w:tr w14:paraId="6FF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ABA5456">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483" w:type="dxa"/>
            <w:vAlign w:val="center"/>
          </w:tcPr>
          <w:p w14:paraId="35713FD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文件的其他材料</w:t>
            </w:r>
          </w:p>
        </w:tc>
        <w:tc>
          <w:tcPr>
            <w:tcW w:w="7052" w:type="dxa"/>
            <w:vAlign w:val="center"/>
          </w:tcPr>
          <w:p w14:paraId="5535242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文件的补充文件（如有）、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答疑纪要（如有）、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控制价（如有）</w:t>
            </w:r>
          </w:p>
        </w:tc>
      </w:tr>
      <w:tr w14:paraId="74D3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6B5248D">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483" w:type="dxa"/>
            <w:vAlign w:val="center"/>
          </w:tcPr>
          <w:p w14:paraId="0C03BD2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供应商要求澄清</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的截止时间</w:t>
            </w:r>
          </w:p>
        </w:tc>
        <w:tc>
          <w:tcPr>
            <w:tcW w:w="7052" w:type="dxa"/>
            <w:vAlign w:val="center"/>
          </w:tcPr>
          <w:p w14:paraId="5374825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截止时间前3日</w:t>
            </w:r>
          </w:p>
          <w:p w14:paraId="1AC6344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形式：通过书面形式要求采购人对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文件予以澄清。</w:t>
            </w:r>
          </w:p>
        </w:tc>
      </w:tr>
      <w:tr w14:paraId="086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E702815">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483" w:type="dxa"/>
            <w:vAlign w:val="center"/>
          </w:tcPr>
          <w:p w14:paraId="20F9E354">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w:t>
            </w:r>
          </w:p>
        </w:tc>
        <w:tc>
          <w:tcPr>
            <w:tcW w:w="7052" w:type="dxa"/>
            <w:vAlign w:val="center"/>
          </w:tcPr>
          <w:p w14:paraId="37D8CCD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lang w:eastAsia="zh-CN"/>
              </w:rPr>
              <w:t>2026年</w:t>
            </w:r>
            <w:r>
              <w:rPr>
                <w:rFonts w:hint="eastAsia" w:ascii="宋体" w:hAnsi="宋体" w:eastAsia="宋体" w:cs="宋体"/>
                <w:color w:val="auto"/>
                <w:highlight w:val="none"/>
                <w:shd w:val="clear" w:color="auto" w:fill="FFFFFF"/>
                <w:lang w:val="en-US" w:eastAsia="zh-CN"/>
              </w:rPr>
              <w:t xml:space="preserve"> 7 </w:t>
            </w:r>
            <w:r>
              <w:rPr>
                <w:rFonts w:hint="eastAsia" w:ascii="宋体" w:hAnsi="宋体" w:eastAsia="宋体" w:cs="宋体"/>
                <w:color w:val="auto"/>
                <w:highlight w:val="none"/>
                <w:shd w:val="clear" w:color="auto" w:fill="FFFFFF"/>
                <w:lang w:eastAsia="zh-CN"/>
              </w:rPr>
              <w:t>月</w:t>
            </w: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lang w:eastAsia="zh-CN"/>
              </w:rPr>
              <w:t>日</w:t>
            </w:r>
            <w:r>
              <w:rPr>
                <w:rFonts w:hint="eastAsia" w:ascii="宋体" w:hAnsi="宋体" w:eastAsia="宋体" w:cs="宋体"/>
                <w:color w:val="auto"/>
                <w:highlight w:val="none"/>
                <w:shd w:val="clear" w:color="auto" w:fill="FFFFFF"/>
                <w:lang w:val="en-US" w:eastAsia="zh-CN"/>
              </w:rPr>
              <w:t xml:space="preserve">  时 00 分</w:t>
            </w:r>
            <w:r>
              <w:rPr>
                <w:rFonts w:hint="eastAsia" w:ascii="宋体" w:hAnsi="宋体" w:eastAsia="宋体" w:cs="宋体"/>
                <w:b/>
                <w:bCs/>
                <w:color w:val="auto"/>
                <w:highlight w:val="none"/>
              </w:rPr>
              <w:t>（以</w:t>
            </w:r>
            <w:r>
              <w:rPr>
                <w:rFonts w:hint="eastAsia" w:ascii="宋体" w:hAnsi="宋体" w:eastAsia="宋体" w:cs="宋体"/>
                <w:b/>
                <w:bCs/>
                <w:color w:val="auto"/>
                <w:highlight w:val="none"/>
                <w:lang w:val="en-US" w:eastAsia="zh-CN"/>
              </w:rPr>
              <w:t>公示平台</w:t>
            </w:r>
            <w:r>
              <w:rPr>
                <w:rFonts w:hint="eastAsia" w:ascii="宋体" w:hAnsi="宋体" w:eastAsia="宋体" w:cs="宋体"/>
                <w:b/>
                <w:bCs/>
                <w:color w:val="auto"/>
                <w:highlight w:val="none"/>
              </w:rPr>
              <w:t>时间为准）</w:t>
            </w:r>
          </w:p>
        </w:tc>
      </w:tr>
      <w:tr w14:paraId="4016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18C0DFD">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483" w:type="dxa"/>
            <w:vAlign w:val="center"/>
          </w:tcPr>
          <w:p w14:paraId="657CCF1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构成响应文件的其他材料</w:t>
            </w:r>
          </w:p>
        </w:tc>
        <w:tc>
          <w:tcPr>
            <w:tcW w:w="7052" w:type="dxa"/>
            <w:vAlign w:val="center"/>
          </w:tcPr>
          <w:p w14:paraId="7B0B473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采购人在</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期间发出的有编号的补遗书和其它有效正式函件</w:t>
            </w:r>
          </w:p>
        </w:tc>
      </w:tr>
      <w:tr w14:paraId="0150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970" w:type="dxa"/>
            <w:vAlign w:val="center"/>
          </w:tcPr>
          <w:p w14:paraId="7C635158">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1483" w:type="dxa"/>
            <w:vAlign w:val="center"/>
          </w:tcPr>
          <w:p w14:paraId="06A826DC">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7052" w:type="dxa"/>
            <w:vAlign w:val="center"/>
          </w:tcPr>
          <w:p w14:paraId="3E3E038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90天</w:t>
            </w:r>
            <w:r>
              <w:rPr>
                <w:rFonts w:hint="eastAsia" w:ascii="宋体" w:hAnsi="宋体" w:eastAsia="宋体" w:cs="宋体"/>
                <w:color w:val="auto"/>
                <w:highlight w:val="none"/>
              </w:rPr>
              <w:t>（投标截止之日起开始计算）</w:t>
            </w:r>
          </w:p>
        </w:tc>
      </w:tr>
      <w:tr w14:paraId="122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70" w:type="dxa"/>
            <w:vAlign w:val="center"/>
          </w:tcPr>
          <w:p w14:paraId="1154B4B7">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483" w:type="dxa"/>
            <w:vAlign w:val="center"/>
          </w:tcPr>
          <w:p w14:paraId="764CEFC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响应保证金</w:t>
            </w:r>
          </w:p>
        </w:tc>
        <w:tc>
          <w:tcPr>
            <w:tcW w:w="7052" w:type="dxa"/>
            <w:vAlign w:val="center"/>
          </w:tcPr>
          <w:p w14:paraId="32AA664B">
            <w:pPr>
              <w:numPr>
                <w:ilvl w:val="0"/>
                <w:numId w:val="1"/>
              </w:num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响应保证金的金额：</w:t>
            </w:r>
            <w:r>
              <w:rPr>
                <w:rFonts w:hint="eastAsia" w:ascii="宋体" w:hAnsi="宋体" w:eastAsia="宋体" w:cs="宋体"/>
                <w:b/>
                <w:bCs/>
                <w:color w:val="auto"/>
                <w:highlight w:val="none"/>
                <w:lang w:val="en-US" w:eastAsia="zh-CN"/>
              </w:rPr>
              <w:t>3200元。</w:t>
            </w:r>
          </w:p>
          <w:p w14:paraId="46AAD3A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注：若供应商在成交有效期内有下列情形之一的，采购人或采购代理机构有权不退还响应保证金，采购人在递交文件前应充分考虑。</w:t>
            </w:r>
          </w:p>
          <w:p w14:paraId="09DA68A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①在成交有效期内报价人撤回响应文件的。</w:t>
            </w:r>
          </w:p>
          <w:p w14:paraId="655F501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②成交人拒绝领取成交通知书的。</w:t>
            </w:r>
          </w:p>
          <w:p w14:paraId="3211996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③成交人拒绝签订合同的。</w:t>
            </w:r>
          </w:p>
          <w:p w14:paraId="22F6419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④成交人拒绝支付代理服务费的。</w:t>
            </w:r>
          </w:p>
          <w:p w14:paraId="0B366D4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（2）响应保证金缴纳时间：同谈判截止时间。</w:t>
            </w:r>
          </w:p>
          <w:p w14:paraId="01E38A9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（3）采购人指定的响应保证金账户如下：</w:t>
            </w:r>
          </w:p>
          <w:p w14:paraId="5CFD3F4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strike w:val="0"/>
                <w:dstrike w:val="0"/>
                <w:color w:val="auto"/>
                <w:kern w:val="0"/>
                <w:sz w:val="24"/>
                <w:szCs w:val="24"/>
                <w:highlight w:val="none"/>
                <w:u w:val="none"/>
                <w:lang w:val="en-US" w:eastAsia="zh-CN"/>
              </w:rPr>
            </w:pPr>
            <w:r>
              <w:rPr>
                <w:rFonts w:hint="eastAsia" w:ascii="宋体" w:hAnsi="宋体" w:eastAsia="宋体" w:cs="宋体"/>
                <w:i w:val="0"/>
                <w:iCs w:val="0"/>
                <w:strike w:val="0"/>
                <w:dstrike w:val="0"/>
                <w:color w:val="auto"/>
                <w:kern w:val="0"/>
                <w:sz w:val="24"/>
                <w:szCs w:val="24"/>
                <w:highlight w:val="none"/>
                <w:u w:val="none"/>
                <w:lang w:val="en-US" w:eastAsia="zh-CN"/>
              </w:rPr>
              <w:t>开户银行：中国农业银行股份有限公司遵义新华支行</w:t>
            </w:r>
          </w:p>
          <w:p w14:paraId="6DB0380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strike w:val="0"/>
                <w:dstrike w:val="0"/>
                <w:color w:val="auto"/>
                <w:kern w:val="0"/>
                <w:sz w:val="24"/>
                <w:szCs w:val="24"/>
                <w:highlight w:val="none"/>
                <w:u w:val="none"/>
                <w:lang w:val="en-US" w:eastAsia="zh-CN"/>
              </w:rPr>
            </w:pPr>
            <w:r>
              <w:rPr>
                <w:rFonts w:hint="eastAsia" w:ascii="宋体" w:hAnsi="宋体" w:eastAsia="宋体" w:cs="宋体"/>
                <w:i w:val="0"/>
                <w:iCs w:val="0"/>
                <w:strike w:val="0"/>
                <w:dstrike w:val="0"/>
                <w:color w:val="auto"/>
                <w:kern w:val="0"/>
                <w:sz w:val="24"/>
                <w:szCs w:val="24"/>
                <w:highlight w:val="none"/>
                <w:u w:val="none"/>
                <w:lang w:val="en-US" w:eastAsia="zh-CN"/>
              </w:rPr>
              <w:t>账 号：23430001040008532</w:t>
            </w:r>
          </w:p>
          <w:p w14:paraId="2B9410C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strike w:val="0"/>
                <w:dstrike w:val="0"/>
                <w:color w:val="auto"/>
                <w:kern w:val="0"/>
                <w:sz w:val="24"/>
                <w:szCs w:val="24"/>
                <w:highlight w:val="none"/>
                <w:u w:val="none"/>
                <w:lang w:val="en-US" w:eastAsia="zh-CN"/>
              </w:rPr>
            </w:pPr>
            <w:r>
              <w:rPr>
                <w:rFonts w:hint="eastAsia" w:ascii="宋体" w:hAnsi="宋体" w:eastAsia="宋体" w:cs="宋体"/>
                <w:i w:val="0"/>
                <w:iCs w:val="0"/>
                <w:strike w:val="0"/>
                <w:dstrike w:val="0"/>
                <w:color w:val="auto"/>
                <w:kern w:val="0"/>
                <w:sz w:val="24"/>
                <w:szCs w:val="24"/>
                <w:highlight w:val="none"/>
                <w:u w:val="none"/>
                <w:lang w:val="en-US" w:eastAsia="zh-CN"/>
              </w:rPr>
              <w:t>收款单位：遵义交科工程检测有限公司</w:t>
            </w:r>
          </w:p>
          <w:p w14:paraId="0F76454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（4）响应保证金的形式：银行汇款、电子保函；</w:t>
            </w:r>
          </w:p>
          <w:p w14:paraId="4AF334B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vertAlign w:val="baseline"/>
              </w:rPr>
              <w:t>供应商缴纳成功后</w:t>
            </w:r>
            <w:r>
              <w:rPr>
                <w:rFonts w:hint="eastAsia" w:asciiTheme="minorEastAsia" w:hAnsiTheme="minorEastAsia" w:eastAsiaTheme="minorEastAsia" w:cstheme="minorEastAsia"/>
                <w:color w:val="auto"/>
                <w:sz w:val="24"/>
                <w:szCs w:val="24"/>
                <w:highlight w:val="none"/>
                <w:vertAlign w:val="baseline"/>
                <w:lang w:val="en-US" w:eastAsia="zh-CN"/>
              </w:rPr>
              <w:t>须</w:t>
            </w:r>
            <w:r>
              <w:rPr>
                <w:rFonts w:hint="eastAsia" w:asciiTheme="minorEastAsia" w:hAnsiTheme="minorEastAsia" w:eastAsiaTheme="minorEastAsia" w:cstheme="minorEastAsia"/>
                <w:color w:val="auto"/>
                <w:sz w:val="24"/>
                <w:szCs w:val="24"/>
                <w:highlight w:val="none"/>
                <w:vertAlign w:val="baseline"/>
              </w:rPr>
              <w:t>在</w:t>
            </w:r>
            <w:r>
              <w:rPr>
                <w:rFonts w:hint="eastAsia" w:asciiTheme="minorEastAsia" w:hAnsiTheme="minorEastAsia" w:eastAsiaTheme="minorEastAsia" w:cstheme="minorEastAsia"/>
                <w:color w:val="auto"/>
                <w:sz w:val="24"/>
                <w:szCs w:val="24"/>
                <w:highlight w:val="none"/>
                <w:vertAlign w:val="baseline"/>
                <w:lang w:val="en-US" w:eastAsia="zh-CN"/>
              </w:rPr>
              <w:t>响应文件中附</w:t>
            </w:r>
            <w:r>
              <w:rPr>
                <w:rFonts w:hint="eastAsia" w:asciiTheme="minorEastAsia" w:hAnsiTheme="minorEastAsia" w:eastAsiaTheme="minorEastAsia" w:cstheme="minorEastAsia"/>
                <w:color w:val="auto"/>
                <w:sz w:val="24"/>
                <w:szCs w:val="24"/>
                <w:highlight w:val="none"/>
                <w:vertAlign w:val="baseline"/>
              </w:rPr>
              <w:t>缴纳凭证</w:t>
            </w:r>
            <w:r>
              <w:rPr>
                <w:rFonts w:hint="eastAsia" w:asciiTheme="minorEastAsia" w:hAnsiTheme="minorEastAsia" w:eastAsiaTheme="minorEastAsia" w:cstheme="minorEastAsia"/>
                <w:color w:val="auto"/>
                <w:sz w:val="24"/>
                <w:szCs w:val="24"/>
                <w:highlight w:val="none"/>
                <w:vertAlign w:val="baseline"/>
                <w:lang w:val="en-US" w:eastAsia="zh-CN"/>
              </w:rPr>
              <w:t>，未附缴纳凭证视为未递交保证金，符合性审查不通过</w:t>
            </w:r>
            <w:r>
              <w:rPr>
                <w:rFonts w:hint="eastAsia" w:ascii="宋体" w:hAnsi="宋体" w:eastAsia="宋体" w:cs="宋体"/>
                <w:i w:val="0"/>
                <w:iCs w:val="0"/>
                <w:color w:val="auto"/>
                <w:kern w:val="0"/>
                <w:sz w:val="24"/>
                <w:szCs w:val="24"/>
                <w:highlight w:val="none"/>
                <w:u w:val="none"/>
                <w:lang w:val="en-US" w:eastAsia="zh-CN"/>
              </w:rPr>
              <w:t>。</w:t>
            </w:r>
          </w:p>
          <w:p w14:paraId="25B39A8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注：</w:t>
            </w:r>
          </w:p>
          <w:p w14:paraId="6FD4861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①响应保证金应由供应商的基本存款账户（即供应商经中国人民银行核准的基本存款账户《开户许可证》上载明的账户）一次性汇入采购人指定账户。否则其响应保证金视为无效。（符合《关于试点取消企业银行账户开户许可证核发的通知》（银发〔2018〕125号）文件规定的试点地区的供应商，无须附基本账户《开户许可证》）</w:t>
            </w:r>
          </w:p>
          <w:p w14:paraId="08389B19">
            <w:pPr>
              <w:widowControl w:val="0"/>
              <w:numPr>
                <w:ilvl w:val="0"/>
                <w:numId w:val="0"/>
              </w:numPr>
              <w:autoSpaceDE w:val="0"/>
              <w:autoSpaceDN w:val="0"/>
              <w:adjustRightInd w:val="0"/>
              <w:snapToGrid w:val="0"/>
              <w:spacing w:line="300" w:lineRule="auto"/>
              <w:ind w:right="120" w:rightChars="50"/>
              <w:rPr>
                <w:rFonts w:hint="eastAsia" w:ascii="宋体" w:hAnsi="宋体" w:eastAsia="宋体" w:cs="宋体"/>
                <w:b/>
                <w:bCs/>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rPr>
              <w:t>②响应保证金时效以银行到账时间为准，因跨行转账等原因造成延时到账，导致到账时间超出响应截止时间，系统将不予承认保证金递交有效性。因供应商导致响应保证金失效的，由供应商自行承担。为避免此类情形发生建议供应商至少提前1个工作日缴纳响应保证金。</w:t>
            </w:r>
          </w:p>
        </w:tc>
      </w:tr>
      <w:tr w14:paraId="4E0D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91B3616">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1483" w:type="dxa"/>
            <w:vAlign w:val="center"/>
          </w:tcPr>
          <w:p w14:paraId="6D6BEC9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是否允许递交备选方案</w:t>
            </w:r>
          </w:p>
        </w:tc>
        <w:tc>
          <w:tcPr>
            <w:tcW w:w="7052" w:type="dxa"/>
            <w:vAlign w:val="center"/>
          </w:tcPr>
          <w:p w14:paraId="08CB7DE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☑不允许</w:t>
            </w:r>
          </w:p>
          <w:p w14:paraId="3912ADA6">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□允许</w:t>
            </w:r>
          </w:p>
        </w:tc>
      </w:tr>
      <w:tr w14:paraId="497E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DE54288">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483" w:type="dxa"/>
            <w:vAlign w:val="center"/>
          </w:tcPr>
          <w:p w14:paraId="36B0D22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签字和（或）盖章要求</w:t>
            </w:r>
          </w:p>
        </w:tc>
        <w:tc>
          <w:tcPr>
            <w:tcW w:w="7052" w:type="dxa"/>
            <w:vAlign w:val="center"/>
          </w:tcPr>
          <w:p w14:paraId="6493EC7B">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响应文件签字或盖章要求：</w:t>
            </w:r>
            <w:r>
              <w:rPr>
                <w:rFonts w:hint="eastAsia" w:ascii="宋体" w:hAnsi="宋体" w:eastAsia="宋体" w:cs="宋体"/>
                <w:color w:val="auto"/>
                <w:highlight w:val="none"/>
                <w:lang w:val="en-US" w:eastAsia="zh-CN"/>
              </w:rPr>
              <w:t>按照</w:t>
            </w:r>
            <w:r>
              <w:rPr>
                <w:rFonts w:hint="eastAsia" w:ascii="宋体" w:hAnsi="宋体" w:eastAsia="宋体" w:cs="宋体"/>
                <w:color w:val="auto"/>
                <w:highlight w:val="none"/>
              </w:rPr>
              <w:t>响应文件按格式要求盖章、签字（或盖章）；</w:t>
            </w:r>
          </w:p>
          <w:p w14:paraId="110295C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响应文件除技术文件外均须逐页盖章。</w:t>
            </w:r>
            <w:r>
              <w:rPr>
                <w:rFonts w:hint="eastAsia" w:ascii="宋体" w:hAnsi="宋体" w:eastAsia="宋体" w:cs="宋体"/>
                <w:color w:val="auto"/>
                <w:highlight w:val="none"/>
              </w:rPr>
              <w:t xml:space="preserve"> </w:t>
            </w:r>
          </w:p>
        </w:tc>
      </w:tr>
      <w:tr w14:paraId="7AFD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0" w:type="dxa"/>
            <w:vAlign w:val="center"/>
          </w:tcPr>
          <w:p w14:paraId="5A5D83E2">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1483" w:type="dxa"/>
            <w:vAlign w:val="center"/>
          </w:tcPr>
          <w:p w14:paraId="43A60A8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递交</w:t>
            </w:r>
          </w:p>
        </w:tc>
        <w:tc>
          <w:tcPr>
            <w:tcW w:w="7052" w:type="dxa"/>
            <w:vAlign w:val="center"/>
          </w:tcPr>
          <w:p w14:paraId="25B9DC26">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响应人应</w:t>
            </w:r>
            <w:r>
              <w:rPr>
                <w:rFonts w:hint="eastAsia" w:ascii="宋体" w:hAnsi="宋体" w:eastAsia="宋体" w:cs="宋体"/>
                <w:b w:val="0"/>
                <w:bCs w:val="0"/>
                <w:color w:val="auto"/>
                <w:spacing w:val="-5"/>
                <w:highlight w:val="none"/>
              </w:rPr>
              <w:t>递交</w:t>
            </w:r>
            <w:r>
              <w:rPr>
                <w:rFonts w:hint="eastAsia" w:ascii="宋体" w:hAnsi="宋体" w:eastAsia="宋体" w:cs="宋体"/>
                <w:b w:val="0"/>
                <w:bCs w:val="0"/>
                <w:color w:val="auto"/>
                <w:spacing w:val="-5"/>
                <w:highlight w:val="none"/>
                <w:lang w:val="en-US" w:eastAsia="zh-CN"/>
              </w:rPr>
              <w:t>签字盖章齐全并且胶装的响应文件1正2副和响应文件正本扫描件一份(电子版U盘形式提交）；</w:t>
            </w:r>
          </w:p>
          <w:p w14:paraId="3BAFF926">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2"/>
                <w:highlight w:val="none"/>
              </w:rPr>
            </w:pPr>
            <w:r>
              <w:rPr>
                <w:rFonts w:hint="eastAsia" w:ascii="宋体" w:hAnsi="宋体" w:eastAsia="宋体" w:cs="宋体"/>
                <w:b/>
                <w:bCs/>
                <w:color w:val="auto"/>
                <w:spacing w:val="-5"/>
                <w:highlight w:val="none"/>
                <w:lang w:val="en-US" w:eastAsia="zh-CN"/>
              </w:rPr>
              <w:t>注：密封递交，封套处应标明项目名称、供应商名称及开标日期。</w:t>
            </w:r>
            <w:r>
              <w:rPr>
                <w:rFonts w:hint="eastAsia" w:ascii="宋体" w:hAnsi="宋体" w:eastAsia="宋体" w:cs="宋体"/>
                <w:b w:val="0"/>
                <w:bCs w:val="0"/>
                <w:color w:val="auto"/>
                <w:spacing w:val="-2"/>
                <w:highlight w:val="none"/>
              </w:rPr>
              <w:t>封面格式如下：</w:t>
            </w:r>
          </w:p>
          <w:p w14:paraId="562B41F5">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lang w:eastAsia="zh-CN"/>
              </w:rPr>
              <w:t>采购</w:t>
            </w:r>
            <w:r>
              <w:rPr>
                <w:rFonts w:hint="eastAsia" w:ascii="宋体" w:hAnsi="宋体" w:eastAsia="宋体" w:cs="宋体"/>
                <w:b w:val="0"/>
                <w:bCs w:val="0"/>
                <w:color w:val="auto"/>
                <w:spacing w:val="-2"/>
                <w:highlight w:val="none"/>
              </w:rPr>
              <w:t>人：[</w:t>
            </w:r>
            <w:r>
              <w:rPr>
                <w:rFonts w:hint="eastAsia" w:ascii="宋体" w:hAnsi="宋体" w:eastAsia="宋体" w:cs="宋体"/>
                <w:b w:val="0"/>
                <w:bCs w:val="0"/>
                <w:color w:val="auto"/>
                <w:spacing w:val="-2"/>
                <w:highlight w:val="none"/>
                <w:lang w:eastAsia="zh-CN"/>
              </w:rPr>
              <w:t>采购</w:t>
            </w:r>
            <w:r>
              <w:rPr>
                <w:rFonts w:hint="eastAsia" w:ascii="宋体" w:hAnsi="宋体" w:eastAsia="宋体" w:cs="宋体"/>
                <w:b w:val="0"/>
                <w:bCs w:val="0"/>
                <w:color w:val="auto"/>
                <w:spacing w:val="-2"/>
                <w:highlight w:val="none"/>
              </w:rPr>
              <w:t xml:space="preserve">人全称]                   </w:t>
            </w:r>
          </w:p>
          <w:p w14:paraId="48E4BA29">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lang w:eastAsia="zh-CN"/>
              </w:rPr>
              <w:t>采购</w:t>
            </w:r>
            <w:r>
              <w:rPr>
                <w:rFonts w:hint="eastAsia" w:ascii="宋体" w:hAnsi="宋体" w:eastAsia="宋体" w:cs="宋体"/>
                <w:b w:val="0"/>
                <w:bCs w:val="0"/>
                <w:color w:val="auto"/>
                <w:spacing w:val="-2"/>
                <w:highlight w:val="none"/>
              </w:rPr>
              <w:t>编号：</w:t>
            </w:r>
          </w:p>
          <w:p w14:paraId="7A0DC50B">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 xml:space="preserve">                     开标前不得启封        </w:t>
            </w:r>
          </w:p>
          <w:p w14:paraId="593C5FF9">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（于</w:t>
            </w:r>
            <w:r>
              <w:rPr>
                <w:rFonts w:hint="eastAsia" w:ascii="宋体" w:hAnsi="宋体" w:eastAsia="宋体" w:cs="宋体"/>
                <w:b w:val="0"/>
                <w:bCs w:val="0"/>
                <w:color w:val="auto"/>
                <w:spacing w:val="-2"/>
                <w:highlight w:val="none"/>
                <w:lang w:eastAsia="zh-CN"/>
              </w:rPr>
              <w:t>2026年</w:t>
            </w:r>
            <w:r>
              <w:rPr>
                <w:rFonts w:hint="eastAsia" w:ascii="宋体" w:hAnsi="宋体" w:eastAsia="宋体" w:cs="宋体"/>
                <w:b w:val="0"/>
                <w:bCs w:val="0"/>
                <w:color w:val="auto"/>
                <w:spacing w:val="-2"/>
                <w:highlight w:val="none"/>
                <w:lang w:val="en-US" w:eastAsia="zh-CN"/>
              </w:rPr>
              <w:t xml:space="preserve">  </w:t>
            </w:r>
            <w:r>
              <w:rPr>
                <w:rFonts w:hint="eastAsia" w:ascii="宋体" w:hAnsi="宋体" w:eastAsia="宋体" w:cs="宋体"/>
                <w:b w:val="0"/>
                <w:bCs w:val="0"/>
                <w:color w:val="auto"/>
                <w:spacing w:val="-2"/>
                <w:highlight w:val="none"/>
                <w:lang w:eastAsia="zh-CN"/>
              </w:rPr>
              <w:t>月</w:t>
            </w:r>
            <w:r>
              <w:rPr>
                <w:rFonts w:hint="eastAsia" w:ascii="宋体" w:hAnsi="宋体" w:eastAsia="宋体" w:cs="宋体"/>
                <w:b w:val="0"/>
                <w:bCs w:val="0"/>
                <w:color w:val="auto"/>
                <w:spacing w:val="-2"/>
                <w:highlight w:val="none"/>
                <w:lang w:val="en-US" w:eastAsia="zh-CN"/>
              </w:rPr>
              <w:t xml:space="preserve">  </w:t>
            </w:r>
            <w:r>
              <w:rPr>
                <w:rFonts w:hint="eastAsia" w:ascii="宋体" w:hAnsi="宋体" w:eastAsia="宋体" w:cs="宋体"/>
                <w:b w:val="0"/>
                <w:bCs w:val="0"/>
                <w:color w:val="auto"/>
                <w:spacing w:val="-2"/>
                <w:highlight w:val="none"/>
                <w:lang w:eastAsia="zh-CN"/>
              </w:rPr>
              <w:t>日</w:t>
            </w:r>
            <w:r>
              <w:rPr>
                <w:rFonts w:hint="eastAsia" w:ascii="宋体" w:hAnsi="宋体" w:eastAsia="宋体" w:cs="宋体"/>
                <w:b w:val="0"/>
                <w:bCs w:val="0"/>
                <w:color w:val="auto"/>
                <w:spacing w:val="-2"/>
                <w:highlight w:val="none"/>
              </w:rPr>
              <w:t xml:space="preserve">    时前）   </w:t>
            </w:r>
          </w:p>
          <w:p w14:paraId="1D47150A">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lang w:eastAsia="zh-CN"/>
              </w:rPr>
              <w:t>响应</w:t>
            </w:r>
            <w:r>
              <w:rPr>
                <w:rFonts w:hint="eastAsia" w:ascii="宋体" w:hAnsi="宋体" w:eastAsia="宋体" w:cs="宋体"/>
                <w:b w:val="0"/>
                <w:bCs w:val="0"/>
                <w:color w:val="auto"/>
                <w:spacing w:val="-2"/>
                <w:highlight w:val="none"/>
              </w:rPr>
              <w:t xml:space="preserve">人全称：            （加盖公章） </w:t>
            </w:r>
          </w:p>
          <w:p w14:paraId="2268C991">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lang w:eastAsia="zh-CN"/>
              </w:rPr>
              <w:t>响应</w:t>
            </w:r>
            <w:r>
              <w:rPr>
                <w:rFonts w:hint="eastAsia" w:ascii="宋体" w:hAnsi="宋体" w:eastAsia="宋体" w:cs="宋体"/>
                <w:b w:val="0"/>
                <w:bCs w:val="0"/>
                <w:color w:val="auto"/>
                <w:spacing w:val="-2"/>
                <w:highlight w:val="none"/>
              </w:rPr>
              <w:t xml:space="preserve">人地址： </w:t>
            </w:r>
          </w:p>
          <w:p w14:paraId="213E9198">
            <w:pPr>
              <w:autoSpaceDE w:val="0"/>
              <w:autoSpaceDN w:val="0"/>
              <w:adjustRightInd w:val="0"/>
              <w:snapToGrid w:val="0"/>
              <w:spacing w:line="300" w:lineRule="auto"/>
              <w:ind w:left="120" w:leftChars="50" w:right="120" w:rightChars="50" w:firstLine="0" w:firstLineChars="0"/>
              <w:rPr>
                <w:rFonts w:hint="default"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2"/>
                <w:highlight w:val="none"/>
                <w:lang w:val="en-US" w:eastAsia="zh-CN"/>
              </w:rPr>
              <w:t>未按照要求提交视为未响应。</w:t>
            </w:r>
            <w:r>
              <w:rPr>
                <w:rFonts w:hint="eastAsia" w:ascii="宋体" w:hAnsi="宋体" w:eastAsia="宋体" w:cs="宋体"/>
                <w:b w:val="0"/>
                <w:bCs w:val="0"/>
                <w:color w:val="auto"/>
                <w:spacing w:val="-2"/>
                <w:highlight w:val="none"/>
              </w:rPr>
              <w:t xml:space="preserve">                </w:t>
            </w:r>
          </w:p>
        </w:tc>
      </w:tr>
      <w:tr w14:paraId="25AE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970" w:type="dxa"/>
            <w:vAlign w:val="center"/>
          </w:tcPr>
          <w:p w14:paraId="3B441CC4">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1483" w:type="dxa"/>
            <w:vAlign w:val="center"/>
          </w:tcPr>
          <w:p w14:paraId="36CE708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递交响应文件地点</w:t>
            </w:r>
          </w:p>
        </w:tc>
        <w:tc>
          <w:tcPr>
            <w:tcW w:w="7052" w:type="dxa"/>
            <w:vAlign w:val="center"/>
          </w:tcPr>
          <w:p w14:paraId="33745DC3">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auto"/>
                <w:spacing w:val="-5"/>
                <w:highlight w:val="none"/>
              </w:rPr>
              <w:t>本项目</w:t>
            </w:r>
            <w:r>
              <w:rPr>
                <w:rFonts w:hint="eastAsia" w:ascii="宋体" w:hAnsi="宋体" w:eastAsia="宋体" w:cs="宋体"/>
                <w:b w:val="0"/>
                <w:bCs w:val="0"/>
                <w:color w:val="auto"/>
                <w:spacing w:val="-5"/>
                <w:highlight w:val="none"/>
                <w:lang w:val="en-US" w:eastAsia="zh-CN"/>
              </w:rPr>
              <w:t>为线下开标</w:t>
            </w:r>
            <w:r>
              <w:rPr>
                <w:rFonts w:hint="eastAsia" w:ascii="宋体" w:hAnsi="宋体" w:eastAsia="宋体" w:cs="宋体"/>
                <w:b w:val="0"/>
                <w:bCs w:val="0"/>
                <w:color w:val="auto"/>
                <w:spacing w:val="-5"/>
                <w:highlight w:val="none"/>
              </w:rPr>
              <w:t>，供应商只需在</w:t>
            </w:r>
            <w:r>
              <w:rPr>
                <w:rFonts w:hint="eastAsia" w:ascii="宋体" w:hAnsi="宋体" w:eastAsia="宋体" w:cs="宋体"/>
                <w:color w:val="auto"/>
                <w:highlight w:val="none"/>
                <w:shd w:val="clear" w:color="auto" w:fill="FFFFFF"/>
                <w:lang w:eastAsia="zh-CN"/>
              </w:rPr>
              <w:t>2026年</w:t>
            </w:r>
            <w:r>
              <w:rPr>
                <w:rFonts w:hint="eastAsia" w:ascii="宋体" w:hAnsi="宋体" w:eastAsia="宋体" w:cs="宋体"/>
                <w:color w:val="auto"/>
                <w:highlight w:val="none"/>
                <w:shd w:val="clear" w:color="auto" w:fill="FFFFFF"/>
                <w:lang w:val="en-US" w:eastAsia="zh-CN"/>
              </w:rPr>
              <w:t xml:space="preserve"> 7 </w:t>
            </w:r>
            <w:r>
              <w:rPr>
                <w:rFonts w:hint="eastAsia" w:ascii="宋体" w:hAnsi="宋体" w:eastAsia="宋体" w:cs="宋体"/>
                <w:color w:val="auto"/>
                <w:highlight w:val="none"/>
                <w:shd w:val="clear" w:color="auto" w:fill="FFFFFF"/>
                <w:lang w:eastAsia="zh-CN"/>
              </w:rPr>
              <w:t>月</w:t>
            </w: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lang w:eastAsia="zh-CN"/>
              </w:rPr>
              <w:t>日</w:t>
            </w:r>
            <w:r>
              <w:rPr>
                <w:rFonts w:hint="eastAsia" w:ascii="宋体" w:hAnsi="宋体" w:eastAsia="宋体" w:cs="宋体"/>
                <w:color w:val="auto"/>
                <w:highlight w:val="none"/>
                <w:shd w:val="clear" w:color="auto" w:fill="FFFFFF"/>
                <w:lang w:val="en-US" w:eastAsia="zh-CN"/>
              </w:rPr>
              <w:t xml:space="preserve">  时    分</w:t>
            </w:r>
            <w:r>
              <w:rPr>
                <w:rFonts w:hint="eastAsia" w:ascii="宋体" w:hAnsi="宋体" w:eastAsia="宋体" w:cs="宋体"/>
                <w:b w:val="0"/>
                <w:bCs w:val="0"/>
                <w:color w:val="auto"/>
                <w:spacing w:val="-5"/>
                <w:highlight w:val="none"/>
              </w:rPr>
              <w:t>（北京时间）前，递交文件至遵义交科工程检测有限公司（遵义市新蒲新区兴遵西路8号）</w:t>
            </w:r>
            <w:r>
              <w:rPr>
                <w:rFonts w:hint="eastAsia" w:ascii="宋体" w:hAnsi="宋体" w:eastAsia="宋体" w:cs="宋体"/>
                <w:color w:val="auto"/>
                <w:highlight w:val="none"/>
              </w:rPr>
              <w:t>。</w:t>
            </w:r>
          </w:p>
        </w:tc>
      </w:tr>
      <w:tr w14:paraId="2F4F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DA37901">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1483" w:type="dxa"/>
            <w:vAlign w:val="center"/>
          </w:tcPr>
          <w:p w14:paraId="11D160C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是否退还响应文件</w:t>
            </w:r>
          </w:p>
        </w:tc>
        <w:tc>
          <w:tcPr>
            <w:tcW w:w="7052" w:type="dxa"/>
            <w:vAlign w:val="center"/>
          </w:tcPr>
          <w:p w14:paraId="3A79FA8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587D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3F708D1E">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1483" w:type="dxa"/>
            <w:vAlign w:val="center"/>
          </w:tcPr>
          <w:p w14:paraId="062193B8">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7052" w:type="dxa"/>
            <w:vAlign w:val="center"/>
          </w:tcPr>
          <w:p w14:paraId="5DA505F4">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时间：同</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w:t>
            </w:r>
          </w:p>
          <w:p w14:paraId="7F444014">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地点：</w:t>
            </w:r>
            <w:r>
              <w:rPr>
                <w:rFonts w:hint="eastAsia" w:ascii="宋体" w:hAnsi="宋体" w:eastAsia="宋体" w:cs="宋体"/>
                <w:b w:val="0"/>
                <w:bCs w:val="0"/>
                <w:color w:val="auto"/>
                <w:spacing w:val="-1"/>
                <w:highlight w:val="none"/>
              </w:rPr>
              <w:t>遵义交科工程检测有限公司（遵义市新蒲新区兴遵西路8号）</w:t>
            </w:r>
            <w:r>
              <w:rPr>
                <w:rFonts w:hint="eastAsia" w:ascii="宋体" w:hAnsi="宋体" w:eastAsia="宋体" w:cs="宋体"/>
                <w:color w:val="auto"/>
                <w:highlight w:val="none"/>
              </w:rPr>
              <w:t>。</w:t>
            </w:r>
          </w:p>
        </w:tc>
      </w:tr>
      <w:tr w14:paraId="47E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81339D3">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1483" w:type="dxa"/>
            <w:vAlign w:val="center"/>
          </w:tcPr>
          <w:p w14:paraId="1FC1589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7052" w:type="dxa"/>
            <w:vAlign w:val="center"/>
          </w:tcPr>
          <w:p w14:paraId="1EEDE7F0">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highlight w:val="none"/>
              </w:rPr>
            </w:pPr>
            <w:r>
              <w:rPr>
                <w:rFonts w:hint="eastAsia" w:ascii="宋体" w:hAnsi="宋体" w:eastAsia="宋体" w:cs="宋体"/>
                <w:b/>
                <w:bCs/>
                <w:color w:val="auto"/>
                <w:spacing w:val="-4"/>
                <w:highlight w:val="none"/>
              </w:rPr>
              <w:t>谈判程序：</w:t>
            </w:r>
          </w:p>
          <w:p w14:paraId="6170057F">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（1）会议准备：采购人或代理机构工作人员于</w:t>
            </w:r>
            <w:r>
              <w:rPr>
                <w:rFonts w:hint="eastAsia" w:ascii="宋体" w:hAnsi="宋体" w:eastAsia="宋体" w:cs="宋体"/>
                <w:b w:val="0"/>
                <w:bCs w:val="0"/>
                <w:color w:val="auto"/>
                <w:spacing w:val="-1"/>
                <w:highlight w:val="none"/>
                <w:lang w:eastAsia="zh-CN"/>
              </w:rPr>
              <w:t>响应</w:t>
            </w:r>
            <w:r>
              <w:rPr>
                <w:rFonts w:hint="eastAsia" w:ascii="宋体" w:hAnsi="宋体" w:eastAsia="宋体" w:cs="宋体"/>
                <w:b w:val="0"/>
                <w:bCs w:val="0"/>
                <w:color w:val="auto"/>
                <w:spacing w:val="-1"/>
                <w:highlight w:val="none"/>
              </w:rPr>
              <w:t>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2EFFC2B5">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（2）宣读纪律：开标时间到，采购人或代理机构工作人员宣布开标会开始，并宣读开标会会场纪律和注意事项。</w:t>
            </w:r>
          </w:p>
          <w:p w14:paraId="0CD37D1F">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供应商代表身份验证：核验参加开标会议的供应商代表身份：</w:t>
            </w:r>
          </w:p>
          <w:p w14:paraId="390A2E1E">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①供应商的法定代表人参加开标会议的：应出示本人身份证（原件及复印件）、法定代表人身份证明原件、营业执照副本复印件加盖单位公章。</w:t>
            </w:r>
          </w:p>
          <w:p w14:paraId="39D94D53">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7CB7F2B7">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0E9833FE">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（4）评审流程：评标委员会签到，确认无需回避后，推选一名评标组长，由评标组长按照以下流程组织评标。</w:t>
            </w:r>
          </w:p>
          <w:p w14:paraId="64A34D3D">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（5）初步审查：谈判小组严格依据响应文件所提供的资料，对照《</w:t>
            </w:r>
            <w:r>
              <w:rPr>
                <w:rFonts w:hint="eastAsia" w:ascii="宋体" w:hAnsi="宋体" w:eastAsia="宋体" w:cs="宋体"/>
                <w:b w:val="0"/>
                <w:bCs w:val="0"/>
                <w:color w:val="auto"/>
                <w:spacing w:val="-1"/>
                <w:highlight w:val="none"/>
                <w:lang w:eastAsia="zh-CN"/>
              </w:rPr>
              <w:t>评标办法前附表</w:t>
            </w:r>
            <w:r>
              <w:rPr>
                <w:rFonts w:hint="eastAsia" w:ascii="宋体" w:hAnsi="宋体" w:eastAsia="宋体" w:cs="宋体"/>
                <w:b w:val="0"/>
                <w:bCs w:val="0"/>
                <w:color w:val="auto"/>
                <w:spacing w:val="-1"/>
                <w:highlight w:val="none"/>
              </w:rPr>
              <w:t xml:space="preserve">》所列内容对供应商进行资格性审查及符合性审查，审查通过的供应商进入谈判环节。未通过初步审查的响应文件不参与最后报价。通过初步审查的供应商不足三家的，本项目废标，谈判工作结束。 </w:t>
            </w:r>
          </w:p>
          <w:p w14:paraId="4177B4BA">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（6）通过资格审查、符合性审查的供应商进行第二轮报价（最终报价）。</w:t>
            </w:r>
          </w:p>
          <w:p w14:paraId="043114A5">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注：报价时间为</w:t>
            </w:r>
            <w:r>
              <w:rPr>
                <w:rFonts w:hint="eastAsia" w:ascii="宋体" w:hAnsi="宋体" w:eastAsia="宋体" w:cs="宋体"/>
                <w:b w:val="0"/>
                <w:bCs w:val="0"/>
                <w:color w:val="auto"/>
                <w:spacing w:val="-1"/>
                <w:highlight w:val="none"/>
                <w:lang w:val="en-US" w:eastAsia="zh-CN"/>
              </w:rPr>
              <w:t>30</w:t>
            </w:r>
            <w:r>
              <w:rPr>
                <w:rFonts w:hint="eastAsia" w:ascii="宋体" w:hAnsi="宋体" w:eastAsia="宋体" w:cs="宋体"/>
                <w:b w:val="0"/>
                <w:bCs w:val="0"/>
                <w:color w:val="auto"/>
                <w:spacing w:val="-1"/>
                <w:highlight w:val="none"/>
              </w:rPr>
              <w:t>分钟，供应商需在</w:t>
            </w:r>
            <w:r>
              <w:rPr>
                <w:rFonts w:hint="eastAsia" w:ascii="宋体" w:hAnsi="宋体" w:eastAsia="宋体" w:cs="宋体"/>
                <w:b w:val="0"/>
                <w:bCs w:val="0"/>
                <w:color w:val="auto"/>
                <w:spacing w:val="-1"/>
                <w:highlight w:val="none"/>
                <w:lang w:val="en-US" w:eastAsia="zh-CN"/>
              </w:rPr>
              <w:t>30</w:t>
            </w:r>
            <w:r>
              <w:rPr>
                <w:rFonts w:hint="eastAsia" w:ascii="宋体" w:hAnsi="宋体" w:eastAsia="宋体" w:cs="宋体"/>
                <w:b w:val="0"/>
                <w:bCs w:val="0"/>
                <w:color w:val="auto"/>
                <w:spacing w:val="-1"/>
                <w:highlight w:val="none"/>
              </w:rPr>
              <w:t>分钟内完成二次报价（最终），未在</w:t>
            </w:r>
            <w:r>
              <w:rPr>
                <w:rFonts w:hint="eastAsia" w:ascii="宋体" w:hAnsi="宋体" w:eastAsia="宋体" w:cs="宋体"/>
                <w:b w:val="0"/>
                <w:bCs w:val="0"/>
                <w:color w:val="auto"/>
                <w:spacing w:val="-1"/>
                <w:highlight w:val="none"/>
                <w:lang w:val="en-US" w:eastAsia="zh-CN"/>
              </w:rPr>
              <w:t>30</w:t>
            </w:r>
            <w:r>
              <w:rPr>
                <w:rFonts w:hint="eastAsia" w:ascii="宋体" w:hAnsi="宋体" w:eastAsia="宋体" w:cs="宋体"/>
                <w:b w:val="0"/>
                <w:bCs w:val="0"/>
                <w:color w:val="auto"/>
                <w:spacing w:val="-1"/>
                <w:highlight w:val="none"/>
              </w:rPr>
              <w:t>分钟内完成二次报价（最终）的默认一次报价为二次报价（最终）。</w:t>
            </w:r>
          </w:p>
          <w:p w14:paraId="73BBBD66">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（7）由谈判专家组对供应商所递交的</w:t>
            </w:r>
            <w:r>
              <w:rPr>
                <w:rFonts w:hint="eastAsia" w:ascii="宋体" w:hAnsi="宋体" w:eastAsia="宋体" w:cs="宋体"/>
                <w:b w:val="0"/>
                <w:bCs w:val="0"/>
                <w:color w:val="auto"/>
                <w:spacing w:val="-1"/>
                <w:highlight w:val="none"/>
                <w:lang w:eastAsia="zh-CN"/>
              </w:rPr>
              <w:t>响应文件及最终报价进行评审和排序</w:t>
            </w:r>
            <w:r>
              <w:rPr>
                <w:rFonts w:hint="eastAsia" w:ascii="宋体" w:hAnsi="宋体" w:eastAsia="宋体" w:cs="宋体"/>
                <w:b w:val="0"/>
                <w:bCs w:val="0"/>
                <w:color w:val="auto"/>
                <w:spacing w:val="-1"/>
                <w:highlight w:val="none"/>
              </w:rPr>
              <w:t>并汇总评审结果，评标委员会成员须在评标报告上签字确认。</w:t>
            </w:r>
          </w:p>
          <w:p w14:paraId="3F30127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auto"/>
                <w:spacing w:val="-1"/>
                <w:highlight w:val="none"/>
                <w:lang w:eastAsia="zh-CN"/>
              </w:rPr>
              <w:t>（</w:t>
            </w:r>
            <w:r>
              <w:rPr>
                <w:rFonts w:hint="eastAsia" w:ascii="宋体" w:hAnsi="宋体" w:eastAsia="宋体" w:cs="宋体"/>
                <w:b w:val="0"/>
                <w:bCs w:val="0"/>
                <w:color w:val="auto"/>
                <w:spacing w:val="-1"/>
                <w:highlight w:val="none"/>
                <w:lang w:val="en-US" w:eastAsia="zh-CN"/>
              </w:rPr>
              <w:t>8）</w:t>
            </w:r>
            <w:r>
              <w:rPr>
                <w:rFonts w:hint="eastAsia" w:ascii="宋体" w:hAnsi="宋体" w:eastAsia="宋体" w:cs="宋体"/>
                <w:b w:val="0"/>
                <w:bCs w:val="0"/>
                <w:color w:val="auto"/>
                <w:spacing w:val="-1"/>
                <w:highlight w:val="none"/>
              </w:rPr>
              <w:t>谈判结束：谈判小组出具评审报告并复核无误后，谈判工作结束。待代理机构工作人员收理好响应文件资料专家方可离开谈判区。谈判过程中谈判专家不得擅自离开谈判室或进入其他开评标室。</w:t>
            </w:r>
          </w:p>
        </w:tc>
      </w:tr>
      <w:tr w14:paraId="208B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C2A11D1">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1483" w:type="dxa"/>
            <w:vAlign w:val="center"/>
          </w:tcPr>
          <w:p w14:paraId="4A65BA2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52" w:type="dxa"/>
            <w:vAlign w:val="center"/>
          </w:tcPr>
          <w:p w14:paraId="589943A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bookmarkStart w:id="12" w:name="OLE_LINK1"/>
            <w:r>
              <w:rPr>
                <w:rFonts w:hint="eastAsia" w:ascii="宋体" w:hAnsi="宋体" w:eastAsia="宋体" w:cs="宋体"/>
                <w:color w:val="auto"/>
                <w:highlight w:val="none"/>
              </w:rPr>
              <w:t>评标委员会构成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由有关技术、经济专家组成，成员人数为3人</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以上单数。</w:t>
            </w:r>
            <w:bookmarkEnd w:id="12"/>
          </w:p>
        </w:tc>
      </w:tr>
      <w:tr w14:paraId="2BD1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ED3053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w:t>
            </w:r>
          </w:p>
        </w:tc>
        <w:tc>
          <w:tcPr>
            <w:tcW w:w="1483" w:type="dxa"/>
            <w:vAlign w:val="center"/>
          </w:tcPr>
          <w:p w14:paraId="180844A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w:t>
            </w:r>
          </w:p>
        </w:tc>
        <w:tc>
          <w:tcPr>
            <w:tcW w:w="7052" w:type="dxa"/>
            <w:vAlign w:val="center"/>
          </w:tcPr>
          <w:p w14:paraId="6676FD9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是</w:t>
            </w:r>
            <w:r>
              <w:rPr>
                <w:rFonts w:hint="eastAsia" w:ascii="宋体" w:hAnsi="宋体" w:eastAsia="宋体" w:cs="宋体"/>
                <w:color w:val="auto"/>
                <w:highlight w:val="none"/>
              </w:rPr>
              <w:t>，评标委员按综合得分</w:t>
            </w:r>
            <w:r>
              <w:rPr>
                <w:rFonts w:hint="eastAsia" w:ascii="宋体" w:hAnsi="宋体" w:eastAsia="宋体" w:cs="宋体"/>
                <w:color w:val="auto"/>
                <w:highlight w:val="none"/>
                <w:lang w:val="en-US" w:eastAsia="zh-CN"/>
              </w:rPr>
              <w:t>推荐第一名为成交</w:t>
            </w:r>
            <w:r>
              <w:rPr>
                <w:rFonts w:hint="eastAsia" w:ascii="宋体" w:hAnsi="宋体" w:eastAsia="宋体" w:cs="宋体"/>
                <w:color w:val="auto"/>
                <w:highlight w:val="none"/>
              </w:rPr>
              <w:t>候选人。</w:t>
            </w:r>
          </w:p>
        </w:tc>
      </w:tr>
      <w:tr w14:paraId="182C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970" w:type="dxa"/>
            <w:vAlign w:val="center"/>
          </w:tcPr>
          <w:p w14:paraId="157168DF">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w:t>
            </w:r>
          </w:p>
        </w:tc>
        <w:tc>
          <w:tcPr>
            <w:tcW w:w="1483" w:type="dxa"/>
            <w:shd w:val="clear" w:color="auto" w:fill="auto"/>
            <w:vAlign w:val="center"/>
          </w:tcPr>
          <w:p w14:paraId="34F51E5B">
            <w:pPr>
              <w:autoSpaceDE w:val="0"/>
              <w:autoSpaceDN w:val="0"/>
              <w:adjustRightInd w:val="0"/>
              <w:snapToGrid w:val="0"/>
              <w:spacing w:line="300" w:lineRule="auto"/>
              <w:ind w:left="120" w:leftChars="50" w:right="120" w:rightChars="50" w:firstLine="0" w:firstLineChars="0"/>
              <w:jc w:val="left"/>
              <w:rPr>
                <w:rFonts w:hint="eastAsia" w:ascii="宋体" w:hAnsi="宋体" w:eastAsia="宋体" w:cs="宋体"/>
                <w:strike w:val="0"/>
                <w:dstrike w:val="0"/>
                <w:color w:val="auto"/>
                <w:highlight w:val="none"/>
                <w:lang w:val="en-US" w:eastAsia="zh-CN"/>
              </w:rPr>
            </w:pPr>
            <w:r>
              <w:rPr>
                <w:rFonts w:hint="eastAsia" w:ascii="宋体" w:hAnsi="宋体" w:eastAsia="宋体" w:cs="宋体"/>
                <w:b/>
                <w:bCs/>
                <w:color w:val="auto"/>
                <w:highlight w:val="none"/>
                <w:lang w:val="en-US" w:eastAsia="zh-CN"/>
              </w:rPr>
              <w:t>履约保证金</w:t>
            </w:r>
          </w:p>
        </w:tc>
        <w:tc>
          <w:tcPr>
            <w:tcW w:w="7052" w:type="dxa"/>
            <w:shd w:val="clear" w:color="auto" w:fill="auto"/>
            <w:vAlign w:val="center"/>
          </w:tcPr>
          <w:p w14:paraId="4574A4F4">
            <w:pPr>
              <w:autoSpaceDE w:val="0"/>
              <w:autoSpaceDN w:val="0"/>
              <w:adjustRightInd w:val="0"/>
              <w:snapToGrid w:val="0"/>
              <w:spacing w:line="300" w:lineRule="auto"/>
              <w:ind w:left="120" w:leftChars="50" w:right="120" w:rightChars="50" w:firstLine="0" w:firstLineChars="0"/>
              <w:rPr>
                <w:rFonts w:hint="default"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成交人必须在本合同签订前现金缴纳成交金额5%的履约保证金，工程完工经业主和承包方验收合格后、经公示确认无拖欠民工工资后【30】个工作日内全额无息退还。</w:t>
            </w:r>
          </w:p>
        </w:tc>
      </w:tr>
      <w:tr w14:paraId="3C8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F142E65">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36</w:t>
            </w:r>
          </w:p>
        </w:tc>
        <w:tc>
          <w:tcPr>
            <w:tcW w:w="1483" w:type="dxa"/>
            <w:vAlign w:val="center"/>
          </w:tcPr>
          <w:p w14:paraId="0296E0F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控制价</w:t>
            </w:r>
          </w:p>
        </w:tc>
        <w:tc>
          <w:tcPr>
            <w:tcW w:w="7052" w:type="dxa"/>
            <w:vAlign w:val="center"/>
          </w:tcPr>
          <w:p w14:paraId="7CF125EE">
            <w:pPr>
              <w:autoSpaceDE w:val="0"/>
              <w:autoSpaceDN w:val="0"/>
              <w:adjustRightInd w:val="0"/>
              <w:snapToGrid w:val="0"/>
              <w:spacing w:line="300" w:lineRule="auto"/>
              <w:ind w:left="120" w:leftChars="50" w:right="120" w:rightChars="50" w:firstLine="0" w:firstLineChars="0"/>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rPr>
              <w:t>本项目最高限价为：</w:t>
            </w:r>
            <w:r>
              <w:rPr>
                <w:rFonts w:hint="eastAsia" w:ascii="宋体" w:hAnsi="宋体" w:eastAsia="宋体" w:cs="宋体"/>
                <w:b/>
                <w:bCs w:val="0"/>
                <w:color w:val="auto"/>
                <w:highlight w:val="none"/>
                <w:lang w:val="en-US" w:eastAsia="zh-CN"/>
              </w:rPr>
              <w:t>160920.88元（不含税）</w:t>
            </w:r>
            <w:r>
              <w:rPr>
                <w:rFonts w:hint="eastAsia" w:ascii="宋体" w:hAnsi="宋体" w:eastAsia="宋体" w:cs="宋体"/>
                <w:b/>
                <w:bCs/>
                <w:color w:val="auto"/>
                <w:highlight w:val="none"/>
                <w:shd w:val="clear" w:color="auto" w:fill="FFFFFF"/>
                <w:lang w:val="en-US" w:eastAsia="zh-CN"/>
              </w:rPr>
              <w:t>，详见附件工程量</w:t>
            </w:r>
          </w:p>
          <w:p w14:paraId="23FDB87E">
            <w:pPr>
              <w:autoSpaceDE w:val="0"/>
              <w:autoSpaceDN w:val="0"/>
              <w:adjustRightInd w:val="0"/>
              <w:snapToGrid w:val="0"/>
              <w:spacing w:line="300" w:lineRule="auto"/>
              <w:ind w:left="120" w:leftChars="50" w:right="120" w:rightChars="50" w:firstLine="0" w:firstLineChars="0"/>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清单。</w:t>
            </w:r>
          </w:p>
          <w:p w14:paraId="75A10FD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本项目最高投标限价：供应商的响应总价报价和响应单价报价不得高于采购控制价，高于采购控制价的为废标。</w:t>
            </w:r>
          </w:p>
        </w:tc>
      </w:tr>
      <w:tr w14:paraId="57D7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AB10A4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37</w:t>
            </w:r>
          </w:p>
        </w:tc>
        <w:tc>
          <w:tcPr>
            <w:tcW w:w="1483" w:type="dxa"/>
            <w:vAlign w:val="center"/>
          </w:tcPr>
          <w:p w14:paraId="0BABAA8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报价</w:t>
            </w:r>
          </w:p>
        </w:tc>
        <w:tc>
          <w:tcPr>
            <w:tcW w:w="7052" w:type="dxa"/>
            <w:vAlign w:val="center"/>
          </w:tcPr>
          <w:p w14:paraId="79F50FAD">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auto"/>
                <w:kern w:val="0"/>
                <w:highlight w:val="none"/>
                <w:lang w:bidi="ar"/>
              </w:rPr>
            </w:pPr>
            <w:r>
              <w:rPr>
                <w:rFonts w:hint="eastAsia" w:ascii="宋体" w:hAnsi="宋体" w:eastAsia="宋体" w:cs="宋体"/>
                <w:b w:val="0"/>
                <w:bCs w:val="0"/>
                <w:color w:val="auto"/>
                <w:kern w:val="0"/>
                <w:highlight w:val="none"/>
                <w:lang w:val="en-US" w:eastAsia="zh-CN" w:bidi="ar"/>
              </w:rPr>
              <w:t>1</w:t>
            </w:r>
            <w:r>
              <w:rPr>
                <w:rFonts w:hint="eastAsia" w:ascii="宋体" w:hAnsi="宋体" w:eastAsia="宋体" w:cs="宋体"/>
                <w:b w:val="0"/>
                <w:bCs w:val="0"/>
                <w:color w:val="auto"/>
                <w:kern w:val="0"/>
                <w:highlight w:val="none"/>
                <w:lang w:bidi="ar"/>
              </w:rPr>
              <w:t>、响应报价：</w:t>
            </w:r>
            <w:r>
              <w:rPr>
                <w:rFonts w:hint="eastAsia" w:ascii="宋体" w:hAnsi="宋体" w:eastAsia="宋体" w:cs="宋体"/>
                <w:b w:val="0"/>
                <w:bCs w:val="0"/>
                <w:color w:val="auto"/>
                <w:kern w:val="0"/>
                <w:highlight w:val="none"/>
                <w:lang w:eastAsia="zh-CN" w:bidi="ar"/>
              </w:rPr>
              <w:t>包含人员工资、服务费用</w:t>
            </w:r>
            <w:r>
              <w:rPr>
                <w:rFonts w:hint="eastAsia" w:ascii="宋体" w:hAnsi="宋体" w:eastAsia="宋体" w:cs="宋体"/>
                <w:b w:val="0"/>
                <w:bCs w:val="0"/>
                <w:color w:val="auto"/>
                <w:kern w:val="0"/>
                <w:highlight w:val="none"/>
                <w:lang w:bidi="ar"/>
              </w:rPr>
              <w:t>、</w:t>
            </w:r>
            <w:r>
              <w:rPr>
                <w:rFonts w:hint="eastAsia" w:ascii="宋体" w:hAnsi="宋体" w:eastAsia="宋体" w:cs="宋体"/>
                <w:b w:val="0"/>
                <w:bCs w:val="0"/>
                <w:color w:val="auto"/>
                <w:kern w:val="0"/>
                <w:highlight w:val="none"/>
                <w:lang w:eastAsia="zh-CN" w:bidi="ar"/>
              </w:rPr>
              <w:t>利润</w:t>
            </w:r>
            <w:r>
              <w:rPr>
                <w:rFonts w:hint="eastAsia" w:ascii="宋体" w:hAnsi="宋体" w:eastAsia="宋体" w:cs="宋体"/>
                <w:b w:val="0"/>
                <w:bCs w:val="0"/>
                <w:color w:val="auto"/>
                <w:kern w:val="0"/>
                <w:highlight w:val="none"/>
                <w:lang w:bidi="ar"/>
              </w:rPr>
              <w:t>、风险费及其他</w:t>
            </w:r>
            <w:r>
              <w:rPr>
                <w:rFonts w:hint="eastAsia" w:ascii="宋体" w:hAnsi="宋体" w:eastAsia="宋体" w:cs="宋体"/>
                <w:b w:val="0"/>
                <w:bCs w:val="0"/>
                <w:color w:val="auto"/>
                <w:kern w:val="0"/>
                <w:highlight w:val="none"/>
                <w:lang w:eastAsia="zh-CN" w:bidi="ar"/>
              </w:rPr>
              <w:t>除税费外</w:t>
            </w:r>
            <w:r>
              <w:rPr>
                <w:rFonts w:hint="eastAsia" w:ascii="宋体" w:hAnsi="宋体" w:eastAsia="宋体" w:cs="宋体"/>
                <w:b w:val="0"/>
                <w:bCs w:val="0"/>
                <w:color w:val="auto"/>
                <w:kern w:val="0"/>
                <w:highlight w:val="none"/>
                <w:lang w:bidi="ar"/>
              </w:rPr>
              <w:t>一切相关的所有费用，采购人将不再支付其他任何费用。</w:t>
            </w:r>
          </w:p>
          <w:p w14:paraId="40FDA7BF">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auto"/>
                <w:kern w:val="0"/>
                <w:highlight w:val="none"/>
                <w:lang w:bidi="ar"/>
              </w:rPr>
            </w:pPr>
            <w:r>
              <w:rPr>
                <w:rFonts w:hint="eastAsia" w:ascii="宋体" w:hAnsi="宋体" w:eastAsia="宋体" w:cs="宋体"/>
                <w:b w:val="0"/>
                <w:bCs w:val="0"/>
                <w:color w:val="auto"/>
                <w:kern w:val="0"/>
                <w:highlight w:val="none"/>
                <w:lang w:val="en-US" w:eastAsia="zh-CN" w:bidi="ar"/>
              </w:rPr>
              <w:t>2</w:t>
            </w:r>
            <w:r>
              <w:rPr>
                <w:rFonts w:hint="eastAsia" w:ascii="宋体" w:hAnsi="宋体" w:eastAsia="宋体" w:cs="宋体"/>
                <w:b w:val="0"/>
                <w:bCs w:val="0"/>
                <w:color w:val="auto"/>
                <w:kern w:val="0"/>
                <w:highlight w:val="none"/>
                <w:lang w:bidi="ar"/>
              </w:rPr>
              <w:t>、报价方式：响应报价采用的币种为人民币，供应商应充分了解该项目的总体情况以及影响响应报价的其他要素。</w:t>
            </w:r>
          </w:p>
          <w:p w14:paraId="41DC3C1A">
            <w:pPr>
              <w:autoSpaceDE w:val="0"/>
              <w:autoSpaceDN w:val="0"/>
              <w:adjustRightInd w:val="0"/>
              <w:snapToGrid w:val="0"/>
              <w:spacing w:line="300" w:lineRule="auto"/>
              <w:ind w:left="120" w:leftChars="50" w:right="120" w:rightChars="50" w:firstLine="0" w:firstLineChars="0"/>
              <w:rPr>
                <w:rFonts w:hint="eastAsia" w:ascii="宋体" w:hAnsi="宋体" w:eastAsia="宋体" w:cs="宋体"/>
                <w:b/>
                <w:bCs/>
                <w:color w:val="auto"/>
                <w:highlight w:val="none"/>
              </w:rPr>
            </w:pPr>
            <w:r>
              <w:rPr>
                <w:rFonts w:hint="eastAsia" w:ascii="宋体" w:hAnsi="宋体" w:eastAsia="宋体" w:cs="宋体"/>
                <w:b w:val="0"/>
                <w:bCs w:val="0"/>
                <w:color w:val="auto"/>
                <w:kern w:val="0"/>
                <w:highlight w:val="none"/>
                <w:lang w:val="en-US" w:eastAsia="zh-CN" w:bidi="ar"/>
              </w:rPr>
              <w:t>3</w:t>
            </w:r>
            <w:r>
              <w:rPr>
                <w:rFonts w:hint="eastAsia" w:ascii="宋体" w:hAnsi="宋体" w:eastAsia="宋体" w:cs="宋体"/>
                <w:b w:val="0"/>
                <w:bCs w:val="0"/>
                <w:color w:val="auto"/>
                <w:kern w:val="0"/>
                <w:highlight w:val="none"/>
                <w:lang w:bidi="ar"/>
              </w:rPr>
              <w:t>、除非供应商须知中另有规定，供应商所报的响应报价在合同执行过程中是固定不变的，不得以任何理由予以变更，任何包括价格调整要求的响应被认为是非实质性响应，而予以拒绝。</w:t>
            </w:r>
          </w:p>
        </w:tc>
      </w:tr>
      <w:tr w14:paraId="7EBD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AD6CC83">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38</w:t>
            </w:r>
          </w:p>
        </w:tc>
        <w:tc>
          <w:tcPr>
            <w:tcW w:w="1483" w:type="dxa"/>
            <w:vAlign w:val="center"/>
          </w:tcPr>
          <w:p w14:paraId="20F90AE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成交通知书发出的形式</w:t>
            </w:r>
          </w:p>
        </w:tc>
        <w:tc>
          <w:tcPr>
            <w:tcW w:w="7052" w:type="dxa"/>
            <w:vAlign w:val="center"/>
          </w:tcPr>
          <w:p w14:paraId="3693CBE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成交通知书：通过书面形式；</w:t>
            </w:r>
          </w:p>
        </w:tc>
      </w:tr>
      <w:tr w14:paraId="1C57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420B16D">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w:t>
            </w:r>
          </w:p>
        </w:tc>
        <w:tc>
          <w:tcPr>
            <w:tcW w:w="1483" w:type="dxa"/>
            <w:vAlign w:val="center"/>
          </w:tcPr>
          <w:p w14:paraId="3F00178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公告</w:t>
            </w:r>
          </w:p>
        </w:tc>
        <w:tc>
          <w:tcPr>
            <w:tcW w:w="7052" w:type="dxa"/>
            <w:vAlign w:val="center"/>
          </w:tcPr>
          <w:p w14:paraId="0ECC421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公示媒介：</w:t>
            </w:r>
            <w:r>
              <w:rPr>
                <w:rFonts w:hint="eastAsia" w:ascii="宋体" w:hAnsi="宋体" w:eastAsia="宋体" w:cs="宋体"/>
                <w:color w:val="auto"/>
                <w:highlight w:val="none"/>
                <w:shd w:val="clear" w:color="auto" w:fill="FFFFFF"/>
              </w:rPr>
              <w:t>本项目信息在</w:t>
            </w:r>
            <w:r>
              <w:rPr>
                <w:rFonts w:hint="eastAsia" w:ascii="宋体" w:hAnsi="宋体" w:eastAsia="宋体" w:cs="宋体"/>
                <w:color w:val="auto"/>
                <w:highlight w:val="none"/>
                <w:shd w:val="clear" w:color="auto" w:fill="FFFFFF"/>
                <w:lang w:eastAsia="zh-CN"/>
              </w:rPr>
              <w:t>贵州遵义路桥建设集团有限公司官网</w:t>
            </w:r>
            <w:r>
              <w:rPr>
                <w:rFonts w:hint="eastAsia" w:ascii="宋体" w:hAnsi="宋体" w:eastAsia="宋体" w:cs="宋体"/>
                <w:color w:val="auto"/>
                <w:highlight w:val="none"/>
                <w:shd w:val="clear" w:color="auto" w:fill="FFFFFF"/>
              </w:rPr>
              <w:t>和贵州省招标投标</w:t>
            </w:r>
            <w:r>
              <w:rPr>
                <w:rFonts w:hint="eastAsia" w:ascii="宋体" w:hAnsi="宋体" w:eastAsia="宋体" w:cs="宋体"/>
                <w:color w:val="auto"/>
                <w:highlight w:val="none"/>
              </w:rPr>
              <w:t>公共服务平台同步公示。</w:t>
            </w:r>
          </w:p>
          <w:p w14:paraId="3DE4C76B">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公示期限：</w:t>
            </w:r>
            <w:r>
              <w:rPr>
                <w:rFonts w:hint="eastAsia" w:ascii="宋体" w:hAnsi="宋体" w:eastAsia="宋体" w:cs="宋体"/>
                <w:color w:val="auto"/>
                <w:highlight w:val="none"/>
                <w:lang w:eastAsia="zh-CN"/>
              </w:rPr>
              <w:t>不少于</w:t>
            </w:r>
            <w:r>
              <w:rPr>
                <w:rFonts w:hint="eastAsia" w:ascii="宋体" w:hAnsi="宋体" w:eastAsia="宋体" w:cs="宋体"/>
                <w:color w:val="auto"/>
                <w:highlight w:val="none"/>
                <w:lang w:val="en-US" w:eastAsia="zh-CN"/>
              </w:rPr>
              <w:t>3日</w:t>
            </w:r>
          </w:p>
          <w:p w14:paraId="7AC1C52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公示的其他内容 ：以电子交易平台公示信息为准。</w:t>
            </w:r>
          </w:p>
        </w:tc>
      </w:tr>
      <w:tr w14:paraId="50D8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53C73FDE">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1483" w:type="dxa"/>
            <w:vAlign w:val="center"/>
          </w:tcPr>
          <w:p w14:paraId="032D304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知识产权</w:t>
            </w:r>
          </w:p>
        </w:tc>
        <w:tc>
          <w:tcPr>
            <w:tcW w:w="7052" w:type="dxa"/>
            <w:vAlign w:val="center"/>
          </w:tcPr>
          <w:p w14:paraId="0B69002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构成本</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各个组成部分的文件，未经采购人书面同意，供应商不得擅自复印和用于非本</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项目所需的其他目的。采购人全部或者部分使用未</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人响应文件中的技术成果或技术方案时，需征得其书面同意，并不得擅自复印或提供给第三人。</w:t>
            </w:r>
          </w:p>
        </w:tc>
      </w:tr>
      <w:tr w14:paraId="6D3A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3591D3DC">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w:t>
            </w:r>
          </w:p>
        </w:tc>
        <w:tc>
          <w:tcPr>
            <w:tcW w:w="1483" w:type="dxa"/>
            <w:vAlign w:val="center"/>
          </w:tcPr>
          <w:p w14:paraId="05C02AC3">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重新</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的其他情形</w:t>
            </w:r>
          </w:p>
        </w:tc>
        <w:tc>
          <w:tcPr>
            <w:tcW w:w="7052" w:type="dxa"/>
            <w:vAlign w:val="center"/>
          </w:tcPr>
          <w:p w14:paraId="6D8853F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除供应商须知正文第8条规定的情形外，除非已经产生成交候选人，在投标有效期内同意延长投标有效期的供应商少于三个的，采购人应当依法重新采购。</w:t>
            </w:r>
          </w:p>
        </w:tc>
      </w:tr>
      <w:tr w14:paraId="731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2BA3986">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p>
        </w:tc>
        <w:tc>
          <w:tcPr>
            <w:tcW w:w="1483" w:type="dxa"/>
            <w:vAlign w:val="center"/>
          </w:tcPr>
          <w:p w14:paraId="09A401E4">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监 督</w:t>
            </w:r>
          </w:p>
        </w:tc>
        <w:tc>
          <w:tcPr>
            <w:tcW w:w="7052" w:type="dxa"/>
            <w:vAlign w:val="center"/>
          </w:tcPr>
          <w:p w14:paraId="421DAF26">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监督部门：贵州遵义路桥建设集团有限公司审计法务部</w:t>
            </w:r>
          </w:p>
          <w:p w14:paraId="7F8C845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联系人：陈朝清</w:t>
            </w:r>
          </w:p>
          <w:p w14:paraId="0D8D84E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联系电话：18385193261</w:t>
            </w:r>
          </w:p>
        </w:tc>
      </w:tr>
      <w:tr w14:paraId="6D4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49D9C34">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w:t>
            </w:r>
          </w:p>
        </w:tc>
        <w:tc>
          <w:tcPr>
            <w:tcW w:w="1483" w:type="dxa"/>
            <w:vAlign w:val="center"/>
          </w:tcPr>
          <w:p w14:paraId="76E4D9E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解释权</w:t>
            </w:r>
          </w:p>
        </w:tc>
        <w:tc>
          <w:tcPr>
            <w:tcW w:w="7052" w:type="dxa"/>
            <w:vAlign w:val="center"/>
          </w:tcPr>
          <w:p w14:paraId="1A51B947">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构成本</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中有特别规定外，仅适用于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、报价阶段的规定，按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1EC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1732CC7">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w:t>
            </w:r>
          </w:p>
        </w:tc>
        <w:tc>
          <w:tcPr>
            <w:tcW w:w="1483" w:type="dxa"/>
            <w:vAlign w:val="center"/>
          </w:tcPr>
          <w:p w14:paraId="1BCBB5F7">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w:t>
            </w:r>
            <w:bookmarkStart w:id="65" w:name="_GoBack"/>
            <w:bookmarkEnd w:id="65"/>
          </w:p>
        </w:tc>
        <w:tc>
          <w:tcPr>
            <w:tcW w:w="7052" w:type="dxa"/>
            <w:vAlign w:val="center"/>
          </w:tcPr>
          <w:p w14:paraId="639808F4">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lang w:eastAsia="zh-CN"/>
              </w:rPr>
            </w:pPr>
            <w:r>
              <w:rPr>
                <w:rFonts w:hint="eastAsia" w:ascii="宋体" w:hAnsi="宋体" w:eastAsia="宋体" w:cs="宋体"/>
                <w:b w:val="0"/>
                <w:bCs w:val="0"/>
                <w:color w:val="auto"/>
                <w:spacing w:val="-1"/>
                <w:highlight w:val="none"/>
                <w:lang w:val="en-US" w:eastAsia="zh-CN"/>
              </w:rPr>
              <w:t>1</w:t>
            </w:r>
            <w:r>
              <w:rPr>
                <w:rFonts w:hint="eastAsia" w:ascii="宋体" w:hAnsi="宋体" w:eastAsia="宋体" w:cs="宋体"/>
                <w:b w:val="0"/>
                <w:bCs w:val="0"/>
                <w:color w:val="auto"/>
                <w:spacing w:val="-1"/>
                <w:highlight w:val="none"/>
              </w:rPr>
              <w:t>、</w:t>
            </w:r>
            <w:r>
              <w:rPr>
                <w:rFonts w:hint="eastAsia" w:ascii="宋体" w:hAnsi="宋体" w:eastAsia="宋体" w:cs="宋体"/>
                <w:b w:val="0"/>
                <w:bCs w:val="0"/>
                <w:color w:val="auto"/>
                <w:spacing w:val="-1"/>
                <w:highlight w:val="none"/>
                <w:lang w:eastAsia="zh-CN"/>
              </w:rPr>
              <w:t>采购</w:t>
            </w:r>
            <w:r>
              <w:rPr>
                <w:rFonts w:hint="eastAsia" w:ascii="宋体" w:hAnsi="宋体" w:eastAsia="宋体" w:cs="宋体"/>
                <w:b w:val="0"/>
                <w:bCs w:val="0"/>
                <w:color w:val="auto"/>
                <w:spacing w:val="-1"/>
                <w:highlight w:val="none"/>
              </w:rPr>
              <w:t>代理服务费</w:t>
            </w:r>
            <w:r>
              <w:rPr>
                <w:rFonts w:hint="eastAsia" w:ascii="宋体" w:hAnsi="宋体" w:eastAsia="宋体" w:cs="宋体"/>
                <w:b w:val="0"/>
                <w:bCs w:val="0"/>
                <w:color w:val="auto"/>
                <w:spacing w:val="-1"/>
                <w:highlight w:val="none"/>
                <w:lang w:eastAsia="zh-CN"/>
              </w:rPr>
              <w:t>：</w:t>
            </w:r>
            <w:r>
              <w:rPr>
                <w:rFonts w:hint="eastAsia" w:ascii="宋体" w:hAnsi="宋体" w:eastAsia="宋体" w:cs="宋体"/>
                <w:b w:val="0"/>
                <w:bCs w:val="0"/>
                <w:color w:val="auto"/>
                <w:spacing w:val="-1"/>
                <w:highlight w:val="none"/>
              </w:rPr>
              <w:t>本项目代理费由</w:t>
            </w:r>
            <w:r>
              <w:rPr>
                <w:rFonts w:hint="eastAsia" w:ascii="宋体" w:hAnsi="宋体" w:eastAsia="宋体" w:cs="宋体"/>
                <w:b w:val="0"/>
                <w:bCs w:val="0"/>
                <w:color w:val="auto"/>
                <w:spacing w:val="-1"/>
                <w:highlight w:val="none"/>
                <w:lang w:eastAsia="zh-CN"/>
              </w:rPr>
              <w:t>成交</w:t>
            </w:r>
            <w:r>
              <w:rPr>
                <w:rFonts w:hint="eastAsia" w:ascii="宋体" w:hAnsi="宋体" w:eastAsia="宋体" w:cs="宋体"/>
                <w:b w:val="0"/>
                <w:bCs w:val="0"/>
                <w:color w:val="auto"/>
                <w:spacing w:val="-1"/>
                <w:highlight w:val="none"/>
              </w:rPr>
              <w:t>人（成交供应商）在收到本通知函三日内或领取本项目</w:t>
            </w:r>
            <w:r>
              <w:rPr>
                <w:rFonts w:hint="eastAsia" w:ascii="宋体" w:hAnsi="宋体" w:eastAsia="宋体" w:cs="宋体"/>
                <w:b w:val="0"/>
                <w:bCs w:val="0"/>
                <w:color w:val="auto"/>
                <w:spacing w:val="-1"/>
                <w:highlight w:val="none"/>
                <w:lang w:eastAsia="zh-CN"/>
              </w:rPr>
              <w:t>成交</w:t>
            </w:r>
            <w:r>
              <w:rPr>
                <w:rFonts w:hint="eastAsia" w:ascii="宋体" w:hAnsi="宋体" w:eastAsia="宋体" w:cs="宋体"/>
                <w:b w:val="0"/>
                <w:bCs w:val="0"/>
                <w:color w:val="auto"/>
                <w:spacing w:val="-1"/>
                <w:highlight w:val="none"/>
              </w:rPr>
              <w:t>（成交）通知书的同时一次性支付结清，代理费参照黔价房〔2011〕69号文件下浮率50%计取。</w:t>
            </w:r>
            <w:r>
              <w:rPr>
                <w:rFonts w:hint="eastAsia" w:ascii="宋体" w:hAnsi="宋体" w:eastAsia="宋体" w:cs="宋体"/>
                <w:b/>
                <w:bCs/>
                <w:color w:val="auto"/>
                <w:spacing w:val="-1"/>
                <w:highlight w:val="none"/>
                <w:lang w:val="en-US" w:eastAsia="zh-CN"/>
              </w:rPr>
              <w:t>代理服务费3000.00元(含)以下的按3000元收取，50000元（含）以上的按50000元收取。</w:t>
            </w:r>
          </w:p>
          <w:p w14:paraId="6D0DDD2E">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lang w:val="en-US" w:eastAsia="zh-CN"/>
              </w:rPr>
              <w:t>2</w:t>
            </w:r>
            <w:r>
              <w:rPr>
                <w:rFonts w:hint="eastAsia" w:ascii="宋体" w:hAnsi="宋体" w:eastAsia="宋体" w:cs="宋体"/>
                <w:b w:val="0"/>
                <w:bCs w:val="0"/>
                <w:color w:val="auto"/>
                <w:spacing w:val="-1"/>
                <w:highlight w:val="none"/>
              </w:rPr>
              <w:t>、</w:t>
            </w:r>
            <w:r>
              <w:rPr>
                <w:rFonts w:hint="eastAsia" w:ascii="宋体" w:hAnsi="宋体" w:eastAsia="宋体" w:cs="宋体"/>
                <w:b w:val="0"/>
                <w:bCs w:val="0"/>
                <w:color w:val="auto"/>
                <w:spacing w:val="-1"/>
                <w:highlight w:val="none"/>
                <w:lang w:eastAsia="zh-CN"/>
              </w:rPr>
              <w:t>采购</w:t>
            </w:r>
            <w:r>
              <w:rPr>
                <w:rFonts w:hint="eastAsia" w:ascii="宋体" w:hAnsi="宋体" w:eastAsia="宋体" w:cs="宋体"/>
                <w:b w:val="0"/>
                <w:bCs w:val="0"/>
                <w:color w:val="auto"/>
                <w:spacing w:val="-1"/>
                <w:highlight w:val="none"/>
              </w:rPr>
              <w:t>代理费收取方式：银行转账</w:t>
            </w:r>
          </w:p>
          <w:p w14:paraId="4E4FC3B9">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 xml:space="preserve">   开户银行：中国农业银行股份有限公司遵义新华支行</w:t>
            </w:r>
          </w:p>
          <w:p w14:paraId="6A13B0D4">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 xml:space="preserve">   账号：23430001040008532</w:t>
            </w:r>
          </w:p>
          <w:p w14:paraId="471FFAD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auto"/>
                <w:spacing w:val="-1"/>
                <w:highlight w:val="none"/>
              </w:rPr>
              <w:t xml:space="preserve">   收款及开票单位：遵义交科工程检测有限公司</w:t>
            </w:r>
          </w:p>
        </w:tc>
      </w:tr>
      <w:tr w14:paraId="5B0D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0" w:type="dxa"/>
            <w:vAlign w:val="center"/>
          </w:tcPr>
          <w:p w14:paraId="2D313851">
            <w:pPr>
              <w:autoSpaceDE w:val="0"/>
              <w:autoSpaceDN w:val="0"/>
              <w:adjustRightInd w:val="0"/>
              <w:snapToGrid w:val="0"/>
              <w:spacing w:line="300" w:lineRule="auto"/>
              <w:ind w:right="120" w:rightChars="50" w:firstLine="24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w:t>
            </w:r>
          </w:p>
        </w:tc>
        <w:tc>
          <w:tcPr>
            <w:tcW w:w="1483" w:type="dxa"/>
            <w:vAlign w:val="center"/>
          </w:tcPr>
          <w:p w14:paraId="50343958">
            <w:pPr>
              <w:autoSpaceDE w:val="0"/>
              <w:autoSpaceDN w:val="0"/>
              <w:adjustRightInd w:val="0"/>
              <w:snapToGrid w:val="0"/>
              <w:spacing w:line="300" w:lineRule="auto"/>
              <w:ind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商务要求</w:t>
            </w:r>
          </w:p>
        </w:tc>
        <w:tc>
          <w:tcPr>
            <w:tcW w:w="7052" w:type="dxa"/>
            <w:vAlign w:val="center"/>
          </w:tcPr>
          <w:p w14:paraId="5C68A50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1.合同类型：</w:t>
            </w:r>
            <w:r>
              <w:rPr>
                <w:rFonts w:hint="eastAsia" w:ascii="宋体" w:hAnsi="宋体" w:eastAsia="宋体" w:cs="宋体"/>
                <w:color w:val="auto"/>
                <w:kern w:val="0"/>
                <w:highlight w:val="none"/>
                <w:lang w:eastAsia="zh-CN" w:bidi="ar"/>
              </w:rPr>
              <w:t>单</w:t>
            </w:r>
            <w:r>
              <w:rPr>
                <w:rFonts w:hint="eastAsia" w:ascii="宋体" w:hAnsi="宋体" w:eastAsia="宋体" w:cs="宋体"/>
                <w:color w:val="auto"/>
                <w:kern w:val="0"/>
                <w:highlight w:val="none"/>
                <w:lang w:bidi="ar"/>
              </w:rPr>
              <w:t>价合同</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最终以核算工程量据实结算</w:t>
            </w:r>
            <w:r>
              <w:rPr>
                <w:rFonts w:hint="eastAsia" w:ascii="宋体" w:hAnsi="宋体" w:eastAsia="宋体" w:cs="宋体"/>
                <w:color w:val="auto"/>
                <w:kern w:val="0"/>
                <w:highlight w:val="none"/>
                <w:lang w:bidi="ar"/>
              </w:rPr>
              <w:t xml:space="preserve">； </w:t>
            </w:r>
          </w:p>
          <w:p w14:paraId="3E8AE796">
            <w:pPr>
              <w:widowControl/>
              <w:ind w:firstLine="48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2.合同文件主要条</w:t>
            </w:r>
            <w:r>
              <w:rPr>
                <w:rFonts w:hint="eastAsia" w:ascii="宋体" w:hAnsi="宋体" w:eastAsia="宋体" w:cs="宋体"/>
                <w:color w:val="auto"/>
                <w:kern w:val="0"/>
                <w:highlight w:val="none"/>
                <w:lang w:eastAsia="zh-CN" w:bidi="ar"/>
              </w:rPr>
              <w:t>款</w:t>
            </w:r>
          </w:p>
          <w:p w14:paraId="03C51936">
            <w:pPr>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val="en-US" w:eastAsia="zh-CN" w:bidi="ar"/>
              </w:rPr>
              <w:t>工期</w:t>
            </w:r>
            <w:r>
              <w:rPr>
                <w:rFonts w:hint="eastAsia" w:ascii="宋体" w:hAnsi="宋体" w:eastAsia="宋体" w:cs="宋体"/>
                <w:color w:val="auto"/>
                <w:kern w:val="0"/>
                <w:highlight w:val="none"/>
                <w:lang w:bidi="ar"/>
              </w:rPr>
              <w:t>：</w:t>
            </w:r>
            <w:r>
              <w:rPr>
                <w:rFonts w:hint="eastAsia" w:ascii="宋体" w:hAnsi="宋体" w:eastAsia="宋体" w:cs="宋体"/>
                <w:color w:val="auto"/>
                <w:highlight w:val="none"/>
                <w:lang w:val="en-US" w:eastAsia="zh-CN"/>
              </w:rPr>
              <w:t>180日历天</w:t>
            </w:r>
            <w:r>
              <w:rPr>
                <w:rFonts w:hint="eastAsia" w:ascii="宋体" w:hAnsi="宋体" w:eastAsia="宋体" w:cs="宋体"/>
                <w:color w:val="auto"/>
                <w:kern w:val="0"/>
                <w:highlight w:val="none"/>
                <w:lang w:bidi="ar"/>
              </w:rPr>
              <w:t xml:space="preserve">； </w:t>
            </w:r>
          </w:p>
          <w:p w14:paraId="7DC21C85">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（2）服务地点：</w:t>
            </w:r>
            <w:r>
              <w:rPr>
                <w:rFonts w:hint="eastAsia" w:ascii="宋体" w:hAnsi="宋体" w:eastAsia="宋体" w:cs="宋体"/>
                <w:color w:val="auto"/>
                <w:kern w:val="0"/>
                <w:highlight w:val="none"/>
                <w:lang w:eastAsia="zh-CN" w:bidi="ar"/>
              </w:rPr>
              <w:t>采购人指定地点</w:t>
            </w:r>
            <w:r>
              <w:rPr>
                <w:rFonts w:hint="eastAsia" w:ascii="宋体" w:hAnsi="宋体" w:eastAsia="宋体" w:cs="宋体"/>
                <w:color w:val="auto"/>
                <w:kern w:val="0"/>
                <w:highlight w:val="none"/>
                <w:lang w:bidi="ar"/>
              </w:rPr>
              <w:t xml:space="preserve">； </w:t>
            </w:r>
          </w:p>
          <w:p w14:paraId="5A0DCFC8">
            <w:pPr>
              <w:rPr>
                <w:rFonts w:hint="eastAsia" w:ascii="宋体" w:hAnsi="宋体" w:eastAsia="宋体" w:cs="宋体"/>
                <w:color w:val="auto"/>
                <w:kern w:val="0"/>
                <w:highlight w:val="none"/>
                <w:lang w:eastAsia="zh-CN" w:bidi="ar"/>
              </w:rPr>
            </w:pPr>
            <w:r>
              <w:rPr>
                <w:rFonts w:hint="eastAsia" w:ascii="宋体" w:hAnsi="宋体" w:eastAsia="宋体" w:cs="宋体"/>
                <w:color w:val="auto"/>
                <w:highlight w:val="none"/>
                <w:lang w:val="en-US" w:eastAsia="zh-CN"/>
              </w:rPr>
              <w:t>（3）（服务）质量要求：符合国家、地方及行业现行有关施工质量验收规范标准，符合发包人要求，一次性验收合格。</w:t>
            </w:r>
          </w:p>
          <w:p w14:paraId="773F60A0">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（4）为确保项目正常施工，采购方可根据项目实际情况新增一家或多家供应商同时供应，供应方必须无条件接受，采购方不承担违约责任。</w:t>
            </w:r>
          </w:p>
          <w:p w14:paraId="4E828569">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（5）支付方式：</w:t>
            </w:r>
          </w:p>
          <w:p w14:paraId="68A6BCB0">
            <w:pPr>
              <w:widowControl/>
              <w:ind w:left="0" w:leftChars="0" w:firstLine="480" w:firstLineChars="200"/>
              <w:rPr>
                <w:rFonts w:hint="default"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本工程不支付预付款。中期进度款支付方式按阶段进行支付，乙方每月25日前按经甲乙双方签字确认后的工程中期计量支付进度款金额，在扣除应由乙方承担的一切费用后，向甲方提交《付款申请单》。在业主支付甲方对应工程款后，支付乙方经审核完成产值的80%；本工程竣工验收合格且业主支付甲方工程款后，再支付至合同总价款的90%；本工程经业主和甲方共同竣工验收合格后，乙方提供完整结算资料，甲方在业主单位完成对应工程结算并支付甲方工程款后，甲方向乙方支付至最终结算款的97% ，余下3%为工程质量保修金，待缺陷责任期（24个月）满后30天内无息付清</w:t>
            </w:r>
          </w:p>
          <w:p w14:paraId="37B79DC0">
            <w:pPr>
              <w:numPr>
                <w:ilvl w:val="0"/>
                <w:numId w:val="0"/>
              </w:numPr>
              <w:autoSpaceDE w:val="0"/>
              <w:autoSpaceDN w:val="0"/>
              <w:adjustRightInd w:val="0"/>
              <w:snapToGrid w:val="0"/>
              <w:spacing w:line="300" w:lineRule="auto"/>
              <w:ind w:right="120" w:rightChars="50" w:firstLine="480" w:firstLineChars="20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val="en-US" w:eastAsia="zh-CN" w:bidi="ar"/>
              </w:rPr>
              <w:t>6</w:t>
            </w:r>
            <w:r>
              <w:rPr>
                <w:rFonts w:hint="eastAsia" w:ascii="宋体" w:hAnsi="宋体" w:eastAsia="宋体" w:cs="宋体"/>
                <w:color w:val="auto"/>
                <w:kern w:val="0"/>
                <w:highlight w:val="none"/>
                <w:lang w:bidi="ar"/>
              </w:rPr>
              <w:t>）其他未尽事宜</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具体以合同为准</w:t>
            </w:r>
            <w:r>
              <w:rPr>
                <w:rFonts w:hint="eastAsia" w:ascii="宋体" w:hAnsi="宋体" w:eastAsia="宋体" w:cs="宋体"/>
                <w:color w:val="auto"/>
                <w:kern w:val="0"/>
                <w:highlight w:val="none"/>
                <w:lang w:eastAsia="zh-CN" w:bidi="ar"/>
              </w:rPr>
              <w:t>。</w:t>
            </w:r>
          </w:p>
          <w:p w14:paraId="6B55FBEB">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7）</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0CBE3CB4">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（8）响应</w:t>
            </w:r>
            <w:r>
              <w:rPr>
                <w:rFonts w:hint="default" w:ascii="宋体" w:hAnsi="宋体" w:eastAsia="宋体" w:cs="宋体"/>
                <w:color w:val="auto"/>
                <w:kern w:val="0"/>
                <w:sz w:val="24"/>
                <w:szCs w:val="24"/>
                <w:highlight w:val="none"/>
                <w:lang w:val="en-US" w:eastAsia="zh-CN" w:bidi="ar-SA"/>
              </w:rPr>
              <w:t>人需自行核对单价与总价的一致性，</w:t>
            </w:r>
            <w:r>
              <w:rPr>
                <w:rFonts w:hint="eastAsia" w:ascii="宋体" w:hAnsi="宋体" w:eastAsia="宋体" w:cs="宋体"/>
                <w:color w:val="auto"/>
                <w:kern w:val="0"/>
                <w:sz w:val="24"/>
                <w:szCs w:val="24"/>
                <w:highlight w:val="none"/>
                <w:lang w:val="en-US" w:eastAsia="zh-CN" w:bidi="ar-SA"/>
              </w:rPr>
              <w:t>成交</w:t>
            </w:r>
            <w:r>
              <w:rPr>
                <w:rFonts w:hint="default" w:ascii="宋体" w:hAnsi="宋体" w:eastAsia="宋体" w:cs="宋体"/>
                <w:color w:val="auto"/>
                <w:kern w:val="0"/>
                <w:sz w:val="24"/>
                <w:szCs w:val="24"/>
                <w:highlight w:val="none"/>
                <w:lang w:val="en-US" w:eastAsia="zh-CN" w:bidi="ar-SA"/>
              </w:rPr>
              <w:t>后若发现报价组成有误（单价存在偏差或合计计算有误），将按单价进行修正，修正规则如下：</w:t>
            </w:r>
          </w:p>
          <w:p w14:paraId="0E561DE2">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①若修正后整体合价超过</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总价（即</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函报价），超出部分不计入合同总价，需通过调整分项单价予以修正。</w:t>
            </w:r>
          </w:p>
          <w:p w14:paraId="036B004F">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操作步骤：</w:t>
            </w:r>
          </w:p>
          <w:p w14:paraId="07467D1F">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w:t>
            </w:r>
            <w:r>
              <w:rPr>
                <w:rFonts w:hint="default" w:ascii="宋体" w:hAnsi="宋体" w:eastAsia="宋体" w:cs="宋体"/>
                <w:color w:val="auto"/>
                <w:kern w:val="0"/>
                <w:sz w:val="24"/>
                <w:szCs w:val="24"/>
                <w:highlight w:val="none"/>
                <w:lang w:val="en-US" w:eastAsia="zh-CN" w:bidi="ar-SA"/>
              </w:rPr>
              <w:t>.计算调整系数：调整系数=</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w:t>
            </w:r>
            <w:r>
              <w:rPr>
                <w:rFonts w:hint="eastAsia" w:ascii="宋体" w:hAnsi="宋体" w:eastAsia="宋体" w:cs="宋体"/>
                <w:color w:val="auto"/>
                <w:kern w:val="0"/>
                <w:sz w:val="24"/>
                <w:szCs w:val="24"/>
                <w:highlight w:val="none"/>
                <w:lang w:val="en-US" w:eastAsia="zh-CN" w:bidi="ar-SA"/>
              </w:rPr>
              <w:t>栏标</w:t>
            </w:r>
            <w:r>
              <w:rPr>
                <w:rFonts w:hint="default" w:ascii="宋体" w:hAnsi="宋体" w:eastAsia="宋体" w:cs="宋体"/>
                <w:color w:val="auto"/>
                <w:kern w:val="0"/>
                <w:sz w:val="24"/>
                <w:szCs w:val="24"/>
                <w:highlight w:val="none"/>
                <w:lang w:val="en-US" w:eastAsia="zh-CN" w:bidi="ar-SA"/>
              </w:rPr>
              <w:t>总价（系数&lt;1）</w:t>
            </w:r>
            <w:r>
              <w:rPr>
                <w:rFonts w:hint="eastAsia" w:ascii="宋体" w:hAnsi="宋体" w:eastAsia="宋体" w:cs="宋体"/>
                <w:color w:val="auto"/>
                <w:kern w:val="0"/>
                <w:sz w:val="24"/>
                <w:szCs w:val="24"/>
                <w:highlight w:val="none"/>
                <w:lang w:val="en-US" w:eastAsia="zh-CN" w:bidi="ar-SA"/>
              </w:rPr>
              <w:t>。</w:t>
            </w:r>
          </w:p>
          <w:p w14:paraId="0360857C">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w:t>
            </w:r>
            <w:r>
              <w:rPr>
                <w:rFonts w:hint="default" w:ascii="宋体" w:hAnsi="宋体" w:eastAsia="宋体" w:cs="宋体"/>
                <w:color w:val="auto"/>
                <w:kern w:val="0"/>
                <w:sz w:val="24"/>
                <w:szCs w:val="24"/>
                <w:highlight w:val="none"/>
                <w:lang w:val="en-US" w:eastAsia="zh-CN" w:bidi="ar-SA"/>
              </w:rPr>
              <w:t>.修正后各分项单价=</w:t>
            </w:r>
            <w:r>
              <w:rPr>
                <w:rFonts w:hint="eastAsia" w:ascii="宋体" w:hAnsi="宋体" w:eastAsia="宋体" w:cs="宋体"/>
                <w:color w:val="auto"/>
                <w:kern w:val="0"/>
                <w:sz w:val="24"/>
                <w:szCs w:val="24"/>
                <w:highlight w:val="none"/>
                <w:lang w:val="en-US" w:eastAsia="zh-CN" w:bidi="ar-SA"/>
              </w:rPr>
              <w:t>栏标各项</w:t>
            </w:r>
            <w:r>
              <w:rPr>
                <w:rFonts w:hint="default" w:ascii="宋体" w:hAnsi="宋体" w:eastAsia="宋体" w:cs="宋体"/>
                <w:color w:val="auto"/>
                <w:kern w:val="0"/>
                <w:sz w:val="24"/>
                <w:szCs w:val="24"/>
                <w:highlight w:val="none"/>
                <w:lang w:val="en-US" w:eastAsia="zh-CN" w:bidi="ar-SA"/>
              </w:rPr>
              <w:t>单价×调整系数</w:t>
            </w:r>
            <w:r>
              <w:rPr>
                <w:rFonts w:hint="eastAsia" w:ascii="宋体" w:hAnsi="宋体" w:eastAsia="宋体" w:cs="宋体"/>
                <w:color w:val="auto"/>
                <w:kern w:val="0"/>
                <w:sz w:val="24"/>
                <w:szCs w:val="24"/>
                <w:highlight w:val="none"/>
                <w:lang w:val="en-US" w:eastAsia="zh-CN" w:bidi="ar-SA"/>
              </w:rPr>
              <w:t>。</w:t>
            </w:r>
          </w:p>
          <w:p w14:paraId="634C916B">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w:t>
            </w:r>
            <w:r>
              <w:rPr>
                <w:rFonts w:hint="default" w:ascii="宋体" w:hAnsi="宋体" w:eastAsia="宋体" w:cs="宋体"/>
                <w:color w:val="auto"/>
                <w:kern w:val="0"/>
                <w:sz w:val="24"/>
                <w:szCs w:val="24"/>
                <w:highlight w:val="none"/>
                <w:lang w:val="en-US" w:eastAsia="zh-CN" w:bidi="ar-SA"/>
              </w:rPr>
              <w:t>.重新计算合价，确保修正后总价与</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总价一致</w:t>
            </w:r>
            <w:r>
              <w:rPr>
                <w:rFonts w:hint="eastAsia" w:ascii="宋体" w:hAnsi="宋体" w:eastAsia="宋体" w:cs="宋体"/>
                <w:color w:val="auto"/>
                <w:kern w:val="0"/>
                <w:sz w:val="24"/>
                <w:szCs w:val="24"/>
                <w:highlight w:val="none"/>
                <w:lang w:val="en-US" w:eastAsia="zh-CN" w:bidi="ar-SA"/>
              </w:rPr>
              <w:t>。</w:t>
            </w:r>
          </w:p>
          <w:p w14:paraId="31900719">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w:t>
            </w:r>
          </w:p>
          <w:p w14:paraId="47D68D1C">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②若修正后整体总价小于</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总价（即</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函报价），合同签约总价为修正后总价。</w:t>
            </w:r>
          </w:p>
          <w:p w14:paraId="686A7407">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（9）安全目标</w:t>
            </w:r>
            <w:r>
              <w:rPr>
                <w:rFonts w:hint="eastAsia" w:ascii="宋体" w:hAnsi="宋体" w:eastAsia="宋体" w:cs="宋体"/>
                <w:color w:val="auto"/>
                <w:kern w:val="0"/>
                <w:sz w:val="24"/>
                <w:szCs w:val="24"/>
                <w:highlight w:val="none"/>
                <w:lang w:val="en-US" w:eastAsia="zh-CN" w:bidi="ar-SA"/>
              </w:rPr>
              <w:t>：杜绝较大以上事故、遏制一般事故、重伤率不超过0.5‰、轻伤率不超过2‰。</w:t>
            </w:r>
          </w:p>
          <w:p w14:paraId="2B4C517D">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0</w:t>
            </w:r>
            <w:r>
              <w:rPr>
                <w:rFonts w:hint="default" w:ascii="宋体" w:hAnsi="宋体" w:eastAsia="宋体" w:cs="宋体"/>
                <w:color w:val="auto"/>
                <w:kern w:val="0"/>
                <w:sz w:val="24"/>
                <w:szCs w:val="24"/>
                <w:highlight w:val="none"/>
                <w:lang w:val="en-US" w:eastAsia="zh-CN" w:bidi="ar-SA"/>
              </w:rPr>
              <w:t>）特别要求：</w:t>
            </w:r>
            <w:r>
              <w:rPr>
                <w:rFonts w:hint="eastAsia" w:ascii="宋体" w:hAnsi="宋体" w:eastAsia="宋体" w:cs="宋体"/>
                <w:color w:val="auto"/>
                <w:kern w:val="0"/>
                <w:sz w:val="24"/>
                <w:szCs w:val="24"/>
                <w:highlight w:val="none"/>
                <w:lang w:val="en-US" w:eastAsia="zh-CN" w:bidi="ar-SA"/>
              </w:rPr>
              <w:t>供应商必须为施工人员购买实名制保险。</w:t>
            </w:r>
            <w:r>
              <w:rPr>
                <w:rFonts w:hint="default" w:ascii="宋体" w:hAnsi="宋体" w:eastAsia="宋体" w:cs="宋体"/>
                <w:color w:val="auto"/>
                <w:kern w:val="0"/>
                <w:sz w:val="24"/>
                <w:szCs w:val="24"/>
                <w:highlight w:val="none"/>
                <w:lang w:val="en-US" w:eastAsia="zh-CN" w:bidi="ar-SA"/>
              </w:rPr>
              <w:t>。</w:t>
            </w:r>
          </w:p>
          <w:p w14:paraId="0D5B009C">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）成交供应商至少配备1名专职安全员，应根据《建筑施工企业、工程项目安全生产管理机构设置及安全生产管理人员配备办法》 配足专职安全管理人员，若因安全管理人员配置不满足要求，导致的安全责任由成交供应商负责，我司不承担相关责任。（应自行承诺）</w:t>
            </w:r>
          </w:p>
          <w:p w14:paraId="7DB2EE60">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12</w:t>
            </w:r>
            <w:r>
              <w:rPr>
                <w:rFonts w:hint="default" w:ascii="宋体" w:hAnsi="宋体" w:eastAsia="宋体" w:cs="宋体"/>
                <w:color w:val="auto"/>
                <w:kern w:val="0"/>
                <w:sz w:val="24"/>
                <w:szCs w:val="24"/>
                <w:highlight w:val="none"/>
                <w:lang w:val="en-US" w:eastAsia="zh-CN" w:bidi="ar-SA"/>
              </w:rPr>
              <w:t>）供应商所提供的响应文件（包括一切技术资料、技术承诺、商务承诺等）均应真实有效，若在项目采购过程中（包括响应报价、</w:t>
            </w:r>
            <w:r>
              <w:rPr>
                <w:rFonts w:hint="eastAsia" w:ascii="宋体" w:hAnsi="宋体" w:eastAsia="宋体" w:cs="宋体"/>
                <w:color w:val="auto"/>
                <w:kern w:val="0"/>
                <w:sz w:val="24"/>
                <w:szCs w:val="24"/>
                <w:highlight w:val="none"/>
                <w:lang w:val="en-US" w:eastAsia="zh-CN" w:bidi="ar-SA"/>
              </w:rPr>
              <w:t>成交</w:t>
            </w:r>
            <w:r>
              <w:rPr>
                <w:rFonts w:hint="default" w:ascii="宋体" w:hAnsi="宋体" w:eastAsia="宋体" w:cs="宋体"/>
                <w:color w:val="auto"/>
                <w:kern w:val="0"/>
                <w:sz w:val="24"/>
                <w:szCs w:val="24"/>
                <w:highlight w:val="none"/>
                <w:lang w:val="en-US" w:eastAsia="zh-CN" w:bidi="ar-SA"/>
              </w:rPr>
              <w:t>公示过程）及履行合同期间（包括验收、使用过程）发现你公司服务与响应文件不一致，提供了不真实的响应文件（虚假材料），我司可以作出取消你司成交资格、罚没保证金等决定，你司不得有异议。</w:t>
            </w:r>
          </w:p>
        </w:tc>
      </w:tr>
    </w:tbl>
    <w:p w14:paraId="5CE5F857">
      <w:pPr>
        <w:widowControl/>
        <w:adjustRightInd w:val="0"/>
        <w:snapToGrid w:val="0"/>
        <w:spacing w:line="324" w:lineRule="auto"/>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br w:type="page"/>
      </w:r>
      <w:r>
        <w:rPr>
          <w:rFonts w:hint="eastAsia" w:ascii="宋体" w:hAnsi="宋体" w:eastAsia="宋体" w:cs="宋体"/>
          <w:b/>
          <w:bCs/>
          <w:color w:val="auto"/>
          <w:kern w:val="0"/>
          <w:highlight w:val="none"/>
          <w:lang w:bidi="ar"/>
        </w:rPr>
        <w:t>1．总则</w:t>
      </w:r>
    </w:p>
    <w:p w14:paraId="5197125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1.1 项目概况 </w:t>
      </w:r>
    </w:p>
    <w:p w14:paraId="6799083E">
      <w:pPr>
        <w:widowControl/>
        <w:ind w:firstLine="48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因本项目属于非依法招标项目，将执行《省国资委关于进一步规范监管企业采购行为的通知》 （黔国资通法规[2022]49 号）、省国资委关于印发《贵州省国资委监管企业货物服务采购管理办法 （试行）》的通知（黔国资通法规[2022]47 号）等相关法律法规并结合征集人实际需求制定本文件。</w:t>
      </w:r>
    </w:p>
    <w:p w14:paraId="3C576CD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1.1.2 本采购项目采购人：见供应商须知前附表。 </w:t>
      </w:r>
    </w:p>
    <w:p w14:paraId="31702560">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1.1.3 本项目</w:t>
      </w:r>
      <w:r>
        <w:rPr>
          <w:rFonts w:hint="eastAsia" w:ascii="宋体" w:hAnsi="宋体" w:eastAsia="宋体" w:cs="宋体"/>
          <w:strike w:val="0"/>
          <w:color w:val="auto"/>
          <w:kern w:val="0"/>
          <w:highlight w:val="none"/>
          <w:lang w:eastAsia="zh-CN" w:bidi="ar"/>
        </w:rPr>
        <w:t>采购</w:t>
      </w:r>
      <w:r>
        <w:rPr>
          <w:rFonts w:hint="eastAsia" w:ascii="宋体" w:hAnsi="宋体" w:eastAsia="宋体" w:cs="宋体"/>
          <w:strike w:val="0"/>
          <w:color w:val="auto"/>
          <w:kern w:val="0"/>
          <w:highlight w:val="none"/>
          <w:lang w:bidi="ar"/>
        </w:rPr>
        <w:t xml:space="preserve">代理机构：见供应商须知前附表。 </w:t>
      </w:r>
    </w:p>
    <w:p w14:paraId="758339F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1.1.4 本项目名称：见供应商须知前附表。 </w:t>
      </w:r>
    </w:p>
    <w:p w14:paraId="3E26EBB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1.1.5 本项目地点：见供应商须知前附表。 </w:t>
      </w:r>
    </w:p>
    <w:p w14:paraId="781B194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1.2 资金来源和落实情况 </w:t>
      </w:r>
    </w:p>
    <w:p w14:paraId="1AC0273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1.2.1 本项目预算：见供应商须知前附表。 </w:t>
      </w:r>
    </w:p>
    <w:p w14:paraId="4062047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1.2.2 本项目的资金来源：见供应商须知前附表。 </w:t>
      </w:r>
    </w:p>
    <w:p w14:paraId="69E542F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1.2.3 本项目的资金落实情况：见供应商须知前附表。 </w:t>
      </w:r>
    </w:p>
    <w:p w14:paraId="50EF399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1.3 </w:t>
      </w:r>
      <w:r>
        <w:rPr>
          <w:rFonts w:hint="eastAsia" w:ascii="宋体" w:hAnsi="宋体" w:eastAsia="宋体" w:cs="宋体"/>
          <w:b/>
          <w:bCs/>
          <w:color w:val="auto"/>
          <w:kern w:val="0"/>
          <w:highlight w:val="none"/>
          <w:lang w:eastAsia="zh-CN" w:bidi="ar"/>
        </w:rPr>
        <w:t>采购</w:t>
      </w:r>
      <w:r>
        <w:rPr>
          <w:rFonts w:hint="eastAsia" w:ascii="宋体" w:hAnsi="宋体" w:eastAsia="宋体" w:cs="宋体"/>
          <w:b/>
          <w:bCs/>
          <w:color w:val="auto"/>
          <w:kern w:val="0"/>
          <w:highlight w:val="none"/>
          <w:lang w:bidi="ar"/>
        </w:rPr>
        <w:t xml:space="preserve">范围、服务期和质量和要求 </w:t>
      </w:r>
    </w:p>
    <w:p w14:paraId="465FCC4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1.3.1 本次采购内容及范围：见供应商须知前附表。 </w:t>
      </w:r>
    </w:p>
    <w:p w14:paraId="76310CD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1.3.2 本项目的工期：见供应商须知前附表。 </w:t>
      </w:r>
    </w:p>
    <w:p w14:paraId="6CC7313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1.3.3 本项目的服务要求：见供应商须知前附表。 </w:t>
      </w:r>
    </w:p>
    <w:p w14:paraId="21B2B47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1.4 服务单位资格要求 </w:t>
      </w:r>
    </w:p>
    <w:p w14:paraId="25525E3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1.4.1 服务单位应具备资质条件：见供应商须知前附表； </w:t>
      </w:r>
    </w:p>
    <w:p w14:paraId="0071CA7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1.4.2 服务单位应具备其它要求：见供应商须知前附表； </w:t>
      </w:r>
    </w:p>
    <w:p w14:paraId="4201589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1.4.3 该项目是否接受联合体投标：见供应商须知前附表； </w:t>
      </w:r>
    </w:p>
    <w:p w14:paraId="1B7782C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1.4.4 供应商不得存在下列情形之一： </w:t>
      </w:r>
    </w:p>
    <w:p w14:paraId="306063B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(l）为采购人不具有独立法人资格的附属机构（单位）； </w:t>
      </w:r>
    </w:p>
    <w:p w14:paraId="0D6301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(2）为本项目前期准备提供设计或咨询服务的； </w:t>
      </w:r>
    </w:p>
    <w:p w14:paraId="1EB8E8A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(3）被责令停业的； </w:t>
      </w:r>
    </w:p>
    <w:p w14:paraId="64DC526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(4）被暂停或取消投标资格的； </w:t>
      </w:r>
    </w:p>
    <w:p w14:paraId="2E6148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(5）财产被接管或冻结的； </w:t>
      </w:r>
    </w:p>
    <w:p w14:paraId="02A0C60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(6）在最近三年内有骗取中标或严重违约的。 </w:t>
      </w:r>
    </w:p>
    <w:p w14:paraId="23666C0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1.5 费用承担 </w:t>
      </w:r>
    </w:p>
    <w:p w14:paraId="3034EE0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1.5.1服务单位准备和参加</w:t>
      </w:r>
      <w:r>
        <w:rPr>
          <w:rFonts w:hint="eastAsia" w:ascii="宋体" w:hAnsi="宋体" w:eastAsia="宋体" w:cs="宋体"/>
          <w:color w:val="auto"/>
          <w:kern w:val="0"/>
          <w:highlight w:val="none"/>
          <w:lang w:eastAsia="zh-CN" w:bidi="ar"/>
        </w:rPr>
        <w:t>谈判</w:t>
      </w:r>
      <w:r>
        <w:rPr>
          <w:rFonts w:hint="eastAsia" w:ascii="宋体" w:hAnsi="宋体" w:eastAsia="宋体" w:cs="宋体"/>
          <w:color w:val="auto"/>
          <w:kern w:val="0"/>
          <w:highlight w:val="none"/>
          <w:lang w:bidi="ar"/>
        </w:rPr>
        <w:t>活动发生的费用自理。</w:t>
      </w:r>
    </w:p>
    <w:p w14:paraId="30FC898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1.5.2 采购文件费：该项目采购文件免费提供。</w:t>
      </w:r>
    </w:p>
    <w:p w14:paraId="3FAFB5C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1.6 保密 </w:t>
      </w:r>
    </w:p>
    <w:p w14:paraId="427F437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参与本次</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活动的各方应对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和响应文件中的商业和技术等秘密保密，违者应对由此造成的后果承担法律责任。 </w:t>
      </w:r>
    </w:p>
    <w:p w14:paraId="4F223F6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1.7 语言文字 </w:t>
      </w:r>
    </w:p>
    <w:p w14:paraId="458779D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除专用术语外，与招标投标有关的语言均使用中文。必要时专用术语应附有中文注释。 </w:t>
      </w:r>
    </w:p>
    <w:p w14:paraId="21ED4AC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1.8 计量单位 </w:t>
      </w:r>
    </w:p>
    <w:p w14:paraId="38BC441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所有计量均采用中华人民共和国法定计量单位。 </w:t>
      </w:r>
    </w:p>
    <w:p w14:paraId="334CC4F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1.9 踏勘现场 </w:t>
      </w:r>
    </w:p>
    <w:p w14:paraId="6B01EF6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1.9.1 供应商须知前附表规定组织踏勘现场的，采购人按供应商须知前附表规定的时间、 地点组织供应商踏勘项目现场。 </w:t>
      </w:r>
    </w:p>
    <w:p w14:paraId="1C8458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1.9.2 报价单位踏勘现场发生的费用自理。 </w:t>
      </w:r>
    </w:p>
    <w:p w14:paraId="067F33B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1.9.3 除采购人的原因外，供应商自行负责在踏勘现场中所发生的人员伤亡和财产损失。 </w:t>
      </w:r>
    </w:p>
    <w:p w14:paraId="12E5FE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1.9.4 采购人在踏勘现场中介绍的工程场地和相关的周边环境情况，供应商在编制响应文件时参考，采购人不对报价人据此作出的判断和决策负责。 </w:t>
      </w:r>
    </w:p>
    <w:p w14:paraId="5EA6DB7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1.10 投标预备会 </w:t>
      </w:r>
    </w:p>
    <w:p w14:paraId="0816303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1.10.1须知前附表规定不召开投标预备会。 </w:t>
      </w:r>
    </w:p>
    <w:p w14:paraId="7F52C4D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1.10.2 报价人应在须知前附表规定的时间前，以书面形式将提出的问题送达采购人，以便采购人澄清。 </w:t>
      </w:r>
    </w:p>
    <w:p w14:paraId="34703F3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1.10.3 采购人在供应商须知前附表规定的时间内，将对报价人所提问题的澄清，以书面方式通知所有报名的潜在报价人。该澄清内容为</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的组成部分。 </w:t>
      </w:r>
    </w:p>
    <w:p w14:paraId="2E41B3F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1.11 分包 </w:t>
      </w:r>
    </w:p>
    <w:p w14:paraId="782E1AD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不允许。</w:t>
      </w:r>
      <w:r>
        <w:rPr>
          <w:rFonts w:hint="eastAsia" w:ascii="宋体" w:hAnsi="宋体" w:eastAsia="宋体" w:cs="宋体"/>
          <w:b/>
          <w:bCs/>
          <w:color w:val="auto"/>
          <w:kern w:val="0"/>
          <w:highlight w:val="none"/>
          <w:lang w:bidi="ar"/>
        </w:rPr>
        <w:t xml:space="preserve"> </w:t>
      </w:r>
    </w:p>
    <w:p w14:paraId="06CDB4C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2．</w:t>
      </w:r>
      <w:r>
        <w:rPr>
          <w:rFonts w:hint="eastAsia" w:ascii="宋体" w:hAnsi="宋体" w:eastAsia="宋体" w:cs="宋体"/>
          <w:b/>
          <w:bCs/>
          <w:color w:val="auto"/>
          <w:kern w:val="0"/>
          <w:highlight w:val="none"/>
          <w:lang w:eastAsia="zh-CN" w:bidi="ar"/>
        </w:rPr>
        <w:t>谈判采购</w:t>
      </w:r>
      <w:r>
        <w:rPr>
          <w:rFonts w:hint="eastAsia" w:ascii="宋体" w:hAnsi="宋体" w:eastAsia="宋体" w:cs="宋体"/>
          <w:b/>
          <w:bCs/>
          <w:color w:val="auto"/>
          <w:kern w:val="0"/>
          <w:highlight w:val="none"/>
          <w:lang w:bidi="ar"/>
        </w:rPr>
        <w:t xml:space="preserve">文件 </w:t>
      </w:r>
    </w:p>
    <w:p w14:paraId="2ED5897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2.1 </w:t>
      </w:r>
      <w:r>
        <w:rPr>
          <w:rFonts w:hint="eastAsia" w:ascii="宋体" w:hAnsi="宋体" w:eastAsia="宋体" w:cs="宋体"/>
          <w:b/>
          <w:bCs/>
          <w:color w:val="auto"/>
          <w:kern w:val="0"/>
          <w:highlight w:val="none"/>
          <w:lang w:eastAsia="zh-CN" w:bidi="ar"/>
        </w:rPr>
        <w:t>谈判采购</w:t>
      </w:r>
      <w:r>
        <w:rPr>
          <w:rFonts w:hint="eastAsia" w:ascii="宋体" w:hAnsi="宋体" w:eastAsia="宋体" w:cs="宋体"/>
          <w:b/>
          <w:bCs/>
          <w:color w:val="auto"/>
          <w:kern w:val="0"/>
          <w:highlight w:val="none"/>
          <w:lang w:bidi="ar"/>
        </w:rPr>
        <w:t xml:space="preserve">文件的组成 </w:t>
      </w:r>
    </w:p>
    <w:p w14:paraId="79ABF31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本</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包括： </w:t>
      </w:r>
    </w:p>
    <w:p w14:paraId="5B9F37C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公告； </w:t>
      </w:r>
    </w:p>
    <w:p w14:paraId="48871B7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(2）供应商须知； </w:t>
      </w:r>
    </w:p>
    <w:p w14:paraId="56A3D8A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(3）评标办法； </w:t>
      </w:r>
    </w:p>
    <w:p w14:paraId="616F67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(4）合同条款及格式； </w:t>
      </w:r>
    </w:p>
    <w:p w14:paraId="26C10D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(5）项目内容及要求； </w:t>
      </w:r>
    </w:p>
    <w:p w14:paraId="06EA39F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(6）响应文件格式； </w:t>
      </w:r>
    </w:p>
    <w:p w14:paraId="59944F3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(7）供应商须知前附表规定的其他材料。 </w:t>
      </w:r>
    </w:p>
    <w:p w14:paraId="6D20858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3．响应文件 </w:t>
      </w:r>
    </w:p>
    <w:p w14:paraId="76278E8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3.1 响应文件的组成 </w:t>
      </w:r>
    </w:p>
    <w:p w14:paraId="358FD61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3.1.1 响应文件应包括下列内容： </w:t>
      </w:r>
    </w:p>
    <w:p w14:paraId="5F55A030">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函 </w:t>
      </w:r>
    </w:p>
    <w:p w14:paraId="71A86CF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2</w:t>
      </w:r>
      <w:r>
        <w:rPr>
          <w:rFonts w:hint="eastAsia" w:ascii="宋体" w:hAnsi="宋体" w:eastAsia="宋体" w:cs="宋体"/>
          <w:color w:val="auto"/>
          <w:kern w:val="0"/>
          <w:highlight w:val="none"/>
          <w:lang w:bidi="ar"/>
        </w:rPr>
        <w:t xml:space="preserve">.法定代表人身份证明 </w:t>
      </w:r>
    </w:p>
    <w:p w14:paraId="024304F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3</w:t>
      </w:r>
      <w:r>
        <w:rPr>
          <w:rFonts w:hint="eastAsia" w:ascii="宋体" w:hAnsi="宋体" w:eastAsia="宋体" w:cs="宋体"/>
          <w:color w:val="auto"/>
          <w:kern w:val="0"/>
          <w:highlight w:val="none"/>
          <w:lang w:bidi="ar"/>
        </w:rPr>
        <w:t xml:space="preserve">.法定代表人授权委托书 </w:t>
      </w:r>
    </w:p>
    <w:p w14:paraId="454EDA74">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4</w:t>
      </w: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保证金 </w:t>
      </w:r>
    </w:p>
    <w:p w14:paraId="1D6F2D84">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5</w:t>
      </w:r>
      <w:r>
        <w:rPr>
          <w:rFonts w:hint="eastAsia" w:ascii="宋体" w:hAnsi="宋体" w:eastAsia="宋体" w:cs="宋体"/>
          <w:color w:val="auto"/>
          <w:kern w:val="0"/>
          <w:highlight w:val="none"/>
          <w:lang w:bidi="ar"/>
        </w:rPr>
        <w:t xml:space="preserve">.资格审查证明文件 </w:t>
      </w:r>
    </w:p>
    <w:p w14:paraId="5F6E7086">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6</w:t>
      </w:r>
      <w:r>
        <w:rPr>
          <w:rFonts w:hint="eastAsia" w:ascii="宋体" w:hAnsi="宋体" w:eastAsia="宋体" w:cs="宋体"/>
          <w:color w:val="auto"/>
          <w:kern w:val="0"/>
          <w:highlight w:val="none"/>
          <w:lang w:bidi="ar"/>
        </w:rPr>
        <w:t>.商务文件</w:t>
      </w:r>
    </w:p>
    <w:p w14:paraId="205EAF30">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7</w:t>
      </w: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供应商认为有必要提供的其他材料</w:t>
      </w:r>
    </w:p>
    <w:p w14:paraId="581E90E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val="en-US" w:eastAsia="zh-CN" w:bidi="ar"/>
        </w:rPr>
        <w:t>8</w:t>
      </w:r>
      <w:r>
        <w:rPr>
          <w:rFonts w:hint="eastAsia" w:ascii="宋体" w:hAnsi="宋体" w:eastAsia="宋体" w:cs="宋体"/>
          <w:color w:val="auto"/>
          <w:kern w:val="0"/>
          <w:highlight w:val="none"/>
          <w:lang w:bidi="ar"/>
        </w:rPr>
        <w:t xml:space="preserve">.技术方案。 </w:t>
      </w:r>
    </w:p>
    <w:p w14:paraId="1CCFC60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※注：以上内容中要求附的证明材料的复印件均需加盖供应商公章</w:t>
      </w:r>
      <w:r>
        <w:rPr>
          <w:rFonts w:hint="eastAsia" w:ascii="宋体" w:hAnsi="宋体" w:eastAsia="宋体" w:cs="宋体"/>
          <w:color w:val="auto"/>
          <w:kern w:val="0"/>
          <w:highlight w:val="none"/>
          <w:lang w:bidi="ar"/>
        </w:rPr>
        <w:t xml:space="preserve">。 </w:t>
      </w:r>
    </w:p>
    <w:p w14:paraId="1C6CEEF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3.2 </w:t>
      </w:r>
      <w:r>
        <w:rPr>
          <w:rFonts w:hint="eastAsia" w:ascii="宋体" w:hAnsi="宋体" w:eastAsia="宋体" w:cs="宋体"/>
          <w:b/>
          <w:bCs/>
          <w:color w:val="auto"/>
          <w:kern w:val="0"/>
          <w:highlight w:val="none"/>
          <w:lang w:eastAsia="zh-CN" w:bidi="ar"/>
        </w:rPr>
        <w:t>响应</w:t>
      </w:r>
      <w:r>
        <w:rPr>
          <w:rFonts w:hint="eastAsia" w:ascii="宋体" w:hAnsi="宋体" w:eastAsia="宋体" w:cs="宋体"/>
          <w:b/>
          <w:bCs/>
          <w:color w:val="auto"/>
          <w:kern w:val="0"/>
          <w:highlight w:val="none"/>
          <w:lang w:bidi="ar"/>
        </w:rPr>
        <w:t xml:space="preserve">报价 </w:t>
      </w:r>
    </w:p>
    <w:p w14:paraId="1AB31E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3.2.1 供应商在投标截止时间前可以修改</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函中的</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总报价。此修改须符合本章第4.3款的有关要求。 </w:t>
      </w:r>
    </w:p>
    <w:p w14:paraId="74461F3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3.2.3 </w:t>
      </w:r>
      <w:r>
        <w:rPr>
          <w:rFonts w:hint="eastAsia" w:ascii="宋体" w:hAnsi="宋体" w:eastAsia="宋体" w:cs="宋体"/>
          <w:b/>
          <w:bCs/>
          <w:color w:val="auto"/>
          <w:kern w:val="0"/>
          <w:highlight w:val="none"/>
          <w:lang w:eastAsia="zh-CN" w:bidi="ar"/>
        </w:rPr>
        <w:t>响应</w:t>
      </w:r>
      <w:r>
        <w:rPr>
          <w:rFonts w:hint="eastAsia" w:ascii="宋体" w:hAnsi="宋体" w:eastAsia="宋体" w:cs="宋体"/>
          <w:b/>
          <w:bCs/>
          <w:color w:val="auto"/>
          <w:kern w:val="0"/>
          <w:highlight w:val="none"/>
          <w:lang w:bidi="ar"/>
        </w:rPr>
        <w:t xml:space="preserve">报价编制依据主要有： </w:t>
      </w:r>
    </w:p>
    <w:p w14:paraId="7E6933B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（1）采购人提供的</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范围、</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 xml:space="preserve">答疑纪要及可能发出的补充说明； </w:t>
      </w:r>
    </w:p>
    <w:p w14:paraId="51BA2E7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（2）省市有关方面的法规、文件以及国家现行验收规范； </w:t>
      </w:r>
    </w:p>
    <w:p w14:paraId="06B3514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3.2.4 </w:t>
      </w:r>
      <w:r>
        <w:rPr>
          <w:rFonts w:hint="eastAsia" w:ascii="宋体" w:hAnsi="宋体" w:eastAsia="宋体" w:cs="宋体"/>
          <w:b/>
          <w:bCs/>
          <w:color w:val="auto"/>
          <w:kern w:val="0"/>
          <w:highlight w:val="none"/>
          <w:lang w:eastAsia="zh-CN" w:bidi="ar"/>
        </w:rPr>
        <w:t>响应</w:t>
      </w:r>
      <w:r>
        <w:rPr>
          <w:rFonts w:hint="eastAsia" w:ascii="宋体" w:hAnsi="宋体" w:eastAsia="宋体" w:cs="宋体"/>
          <w:b/>
          <w:bCs/>
          <w:color w:val="auto"/>
          <w:kern w:val="0"/>
          <w:highlight w:val="none"/>
          <w:lang w:bidi="ar"/>
        </w:rPr>
        <w:t xml:space="preserve">报价说明 </w:t>
      </w:r>
    </w:p>
    <w:p w14:paraId="3BABFFD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3.2.4.1 采购人对不可预见风险因素造成的误工、或因交通延误工期造成的误工等损失不予补偿，请</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单位将此风险自行考虑列入</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报价中。 </w:t>
      </w:r>
    </w:p>
    <w:p w14:paraId="163D74B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3.2.4.2 供应商可先到项目现场踏勘以充分了解项目位置、情况、道路、以及其它足以影响承包价的情况，任何因忽视或误解项目情况而导致的失误采购人概不负责。 </w:t>
      </w:r>
    </w:p>
    <w:p w14:paraId="238991E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3.3 投标有效期 </w:t>
      </w:r>
    </w:p>
    <w:p w14:paraId="3F370FE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3.3.1 在供应商须知前附表规定的投标有效期内，供应商不得要求撤销或修改其响应文件。 </w:t>
      </w:r>
    </w:p>
    <w:p w14:paraId="25B21B0B">
      <w:pPr>
        <w:widowControl/>
        <w:ind w:firstLine="480"/>
        <w:rPr>
          <w:rFonts w:hint="eastAsia" w:ascii="宋体" w:hAnsi="宋体" w:eastAsia="宋体" w:cs="宋体"/>
          <w:strike w:val="0"/>
          <w:color w:val="auto"/>
          <w:highlight w:val="none"/>
        </w:rPr>
      </w:pPr>
      <w:r>
        <w:rPr>
          <w:rFonts w:hint="eastAsia" w:ascii="宋体" w:hAnsi="宋体" w:eastAsia="宋体" w:cs="宋体"/>
          <w:color w:val="auto"/>
          <w:kern w:val="0"/>
          <w:highlight w:val="none"/>
          <w:lang w:bidi="ar"/>
        </w:rPr>
        <w:t>3.3.2 出现特殊情况需要延长投标有效期的，采购人以书面形式通知所有供应商延长投标有效期。供应商同意延长的，应相应延长其投标保证金的有效期，但不得要求或被允许修改或撤销其响应文件。</w:t>
      </w:r>
      <w:r>
        <w:rPr>
          <w:rFonts w:hint="eastAsia" w:ascii="宋体" w:hAnsi="宋体" w:eastAsia="宋体" w:cs="宋体"/>
          <w:strike w:val="0"/>
          <w:color w:val="auto"/>
          <w:kern w:val="0"/>
          <w:highlight w:val="none"/>
          <w:lang w:bidi="ar"/>
        </w:rPr>
        <w:t xml:space="preserve">供应商拒绝延长的，其投标失效，但供应商有权收回其投标保证金。 </w:t>
      </w:r>
    </w:p>
    <w:p w14:paraId="294C045A">
      <w:pPr>
        <w:widowControl/>
        <w:ind w:firstLine="482"/>
        <w:rPr>
          <w:rFonts w:hint="eastAsia" w:ascii="宋体" w:hAnsi="宋体" w:eastAsia="宋体" w:cs="宋体"/>
          <w:strike w:val="0"/>
          <w:color w:val="auto"/>
          <w:highlight w:val="none"/>
        </w:rPr>
      </w:pPr>
      <w:r>
        <w:rPr>
          <w:rFonts w:hint="eastAsia" w:ascii="宋体" w:hAnsi="宋体" w:eastAsia="宋体" w:cs="宋体"/>
          <w:b/>
          <w:bCs/>
          <w:strike w:val="0"/>
          <w:color w:val="auto"/>
          <w:kern w:val="0"/>
          <w:highlight w:val="none"/>
          <w:lang w:bidi="ar"/>
        </w:rPr>
        <w:t xml:space="preserve">3.4 </w:t>
      </w:r>
      <w:r>
        <w:rPr>
          <w:rFonts w:hint="eastAsia" w:ascii="宋体" w:hAnsi="宋体" w:eastAsia="宋体" w:cs="宋体"/>
          <w:b/>
          <w:bCs/>
          <w:strike w:val="0"/>
          <w:color w:val="auto"/>
          <w:kern w:val="0"/>
          <w:highlight w:val="none"/>
          <w:lang w:eastAsia="zh-CN" w:bidi="ar"/>
        </w:rPr>
        <w:t>响应</w:t>
      </w:r>
      <w:r>
        <w:rPr>
          <w:rFonts w:hint="eastAsia" w:ascii="宋体" w:hAnsi="宋体" w:eastAsia="宋体" w:cs="宋体"/>
          <w:b/>
          <w:bCs/>
          <w:strike w:val="0"/>
          <w:color w:val="auto"/>
          <w:kern w:val="0"/>
          <w:highlight w:val="none"/>
          <w:lang w:bidi="ar"/>
        </w:rPr>
        <w:t xml:space="preserve">保证金 </w:t>
      </w:r>
    </w:p>
    <w:p w14:paraId="35BF19C4">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3.4.1 供应商在递交响应文件的同时，应按供应商须知前附表规定的金额、担保形式规定的</w:t>
      </w:r>
      <w:r>
        <w:rPr>
          <w:rFonts w:hint="eastAsia" w:ascii="宋体" w:hAnsi="宋体" w:eastAsia="宋体" w:cs="宋体"/>
          <w:strike w:val="0"/>
          <w:color w:val="auto"/>
          <w:kern w:val="0"/>
          <w:highlight w:val="none"/>
          <w:lang w:eastAsia="zh-CN" w:bidi="ar"/>
        </w:rPr>
        <w:t>响应</w:t>
      </w:r>
      <w:r>
        <w:rPr>
          <w:rFonts w:hint="eastAsia" w:ascii="宋体" w:hAnsi="宋体" w:eastAsia="宋体" w:cs="宋体"/>
          <w:strike w:val="0"/>
          <w:color w:val="auto"/>
          <w:kern w:val="0"/>
          <w:highlight w:val="none"/>
          <w:lang w:bidi="ar"/>
        </w:rPr>
        <w:t>保证金格式递交</w:t>
      </w:r>
      <w:r>
        <w:rPr>
          <w:rFonts w:hint="eastAsia" w:ascii="宋体" w:hAnsi="宋体" w:eastAsia="宋体" w:cs="宋体"/>
          <w:strike w:val="0"/>
          <w:color w:val="auto"/>
          <w:kern w:val="0"/>
          <w:highlight w:val="none"/>
          <w:lang w:eastAsia="zh-CN" w:bidi="ar"/>
        </w:rPr>
        <w:t>响应</w:t>
      </w:r>
      <w:r>
        <w:rPr>
          <w:rFonts w:hint="eastAsia" w:ascii="宋体" w:hAnsi="宋体" w:eastAsia="宋体" w:cs="宋体"/>
          <w:strike w:val="0"/>
          <w:color w:val="auto"/>
          <w:kern w:val="0"/>
          <w:highlight w:val="none"/>
          <w:lang w:bidi="ar"/>
        </w:rPr>
        <w:t xml:space="preserve">保证金，并作为其响应文件的组成部分。 </w:t>
      </w:r>
    </w:p>
    <w:p w14:paraId="425B0046">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3.4.2 供应商不按本章第3.4.1项要求提交</w:t>
      </w:r>
      <w:r>
        <w:rPr>
          <w:rFonts w:hint="eastAsia" w:ascii="宋体" w:hAnsi="宋体" w:eastAsia="宋体" w:cs="宋体"/>
          <w:strike w:val="0"/>
          <w:color w:val="auto"/>
          <w:kern w:val="0"/>
          <w:highlight w:val="none"/>
          <w:lang w:eastAsia="zh-CN" w:bidi="ar"/>
        </w:rPr>
        <w:t>响应</w:t>
      </w:r>
      <w:r>
        <w:rPr>
          <w:rFonts w:hint="eastAsia" w:ascii="宋体" w:hAnsi="宋体" w:eastAsia="宋体" w:cs="宋体"/>
          <w:strike w:val="0"/>
          <w:color w:val="auto"/>
          <w:kern w:val="0"/>
          <w:highlight w:val="none"/>
          <w:lang w:bidi="ar"/>
        </w:rPr>
        <w:t xml:space="preserve">保证金的，其响应文件作无效标处理。 </w:t>
      </w:r>
    </w:p>
    <w:p w14:paraId="518231A8">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3.4.3 采购人确定</w:t>
      </w:r>
      <w:r>
        <w:rPr>
          <w:rFonts w:hint="eastAsia" w:ascii="宋体" w:hAnsi="宋体" w:eastAsia="宋体" w:cs="宋体"/>
          <w:strike w:val="0"/>
          <w:color w:val="auto"/>
          <w:kern w:val="0"/>
          <w:highlight w:val="none"/>
          <w:lang w:eastAsia="zh-CN" w:bidi="ar"/>
        </w:rPr>
        <w:t>成交</w:t>
      </w:r>
      <w:r>
        <w:rPr>
          <w:rFonts w:hint="eastAsia" w:ascii="宋体" w:hAnsi="宋体" w:eastAsia="宋体" w:cs="宋体"/>
          <w:strike w:val="0"/>
          <w:color w:val="auto"/>
          <w:kern w:val="0"/>
          <w:highlight w:val="none"/>
          <w:lang w:bidi="ar"/>
        </w:rPr>
        <w:t>供应商后5个工作日内，向未</w:t>
      </w:r>
      <w:r>
        <w:rPr>
          <w:rFonts w:hint="eastAsia" w:ascii="宋体" w:hAnsi="宋体" w:eastAsia="宋体" w:cs="宋体"/>
          <w:strike w:val="0"/>
          <w:color w:val="auto"/>
          <w:kern w:val="0"/>
          <w:highlight w:val="none"/>
          <w:lang w:eastAsia="zh-CN" w:bidi="ar"/>
        </w:rPr>
        <w:t>成交</w:t>
      </w:r>
      <w:r>
        <w:rPr>
          <w:rFonts w:hint="eastAsia" w:ascii="宋体" w:hAnsi="宋体" w:eastAsia="宋体" w:cs="宋体"/>
          <w:strike w:val="0"/>
          <w:color w:val="auto"/>
          <w:kern w:val="0"/>
          <w:highlight w:val="none"/>
          <w:lang w:bidi="ar"/>
        </w:rPr>
        <w:t>的供应商退还</w:t>
      </w:r>
      <w:r>
        <w:rPr>
          <w:rFonts w:hint="eastAsia" w:ascii="宋体" w:hAnsi="宋体" w:eastAsia="宋体" w:cs="宋体"/>
          <w:strike w:val="0"/>
          <w:color w:val="auto"/>
          <w:kern w:val="0"/>
          <w:highlight w:val="none"/>
          <w:lang w:eastAsia="zh-CN" w:bidi="ar"/>
        </w:rPr>
        <w:t>响应</w:t>
      </w:r>
      <w:r>
        <w:rPr>
          <w:rFonts w:hint="eastAsia" w:ascii="宋体" w:hAnsi="宋体" w:eastAsia="宋体" w:cs="宋体"/>
          <w:strike w:val="0"/>
          <w:color w:val="auto"/>
          <w:kern w:val="0"/>
          <w:highlight w:val="none"/>
          <w:lang w:bidi="ar"/>
        </w:rPr>
        <w:t>保金。</w:t>
      </w:r>
      <w:r>
        <w:rPr>
          <w:rFonts w:hint="eastAsia" w:ascii="宋体" w:hAnsi="宋体" w:eastAsia="宋体" w:cs="宋体"/>
          <w:strike w:val="0"/>
          <w:color w:val="auto"/>
          <w:kern w:val="0"/>
          <w:highlight w:val="none"/>
          <w:lang w:eastAsia="zh-CN" w:bidi="ar"/>
        </w:rPr>
        <w:t>成交</w:t>
      </w:r>
      <w:r>
        <w:rPr>
          <w:rFonts w:hint="eastAsia" w:ascii="宋体" w:hAnsi="宋体" w:eastAsia="宋体" w:cs="宋体"/>
          <w:strike w:val="0"/>
          <w:color w:val="auto"/>
          <w:kern w:val="0"/>
          <w:highlight w:val="none"/>
          <w:lang w:bidi="ar"/>
        </w:rPr>
        <w:t>人的</w:t>
      </w:r>
      <w:r>
        <w:rPr>
          <w:rFonts w:hint="eastAsia" w:ascii="宋体" w:hAnsi="宋体" w:eastAsia="宋体" w:cs="宋体"/>
          <w:strike w:val="0"/>
          <w:color w:val="auto"/>
          <w:kern w:val="0"/>
          <w:highlight w:val="none"/>
          <w:lang w:eastAsia="zh-CN" w:bidi="ar"/>
        </w:rPr>
        <w:t>响应</w:t>
      </w:r>
      <w:r>
        <w:rPr>
          <w:rFonts w:hint="eastAsia" w:ascii="宋体" w:hAnsi="宋体" w:eastAsia="宋体" w:cs="宋体"/>
          <w:strike w:val="0"/>
          <w:color w:val="auto"/>
          <w:kern w:val="0"/>
          <w:highlight w:val="none"/>
          <w:lang w:bidi="ar"/>
        </w:rPr>
        <w:t xml:space="preserve">保证金待合同签订后5个工作日内退还。 </w:t>
      </w:r>
    </w:p>
    <w:p w14:paraId="1F4763AC">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3.4.4 有下列情形之一的，</w:t>
      </w:r>
      <w:r>
        <w:rPr>
          <w:rFonts w:hint="eastAsia" w:ascii="宋体" w:hAnsi="宋体" w:eastAsia="宋体" w:cs="宋体"/>
          <w:strike w:val="0"/>
          <w:color w:val="auto"/>
          <w:kern w:val="0"/>
          <w:highlight w:val="none"/>
          <w:lang w:eastAsia="zh-CN" w:bidi="ar"/>
        </w:rPr>
        <w:t>响应</w:t>
      </w:r>
      <w:r>
        <w:rPr>
          <w:rFonts w:hint="eastAsia" w:ascii="宋体" w:hAnsi="宋体" w:eastAsia="宋体" w:cs="宋体"/>
          <w:strike w:val="0"/>
          <w:color w:val="auto"/>
          <w:kern w:val="0"/>
          <w:highlight w:val="none"/>
          <w:lang w:bidi="ar"/>
        </w:rPr>
        <w:t xml:space="preserve">保证金将不予退还： </w:t>
      </w:r>
    </w:p>
    <w:p w14:paraId="1B551E13">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(1）供应商在规定的投标有效期内撤销或修改其响应文件； </w:t>
      </w:r>
    </w:p>
    <w:p w14:paraId="06E3671F">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(2）</w:t>
      </w:r>
      <w:r>
        <w:rPr>
          <w:rFonts w:hint="eastAsia" w:ascii="宋体" w:hAnsi="宋体" w:eastAsia="宋体" w:cs="宋体"/>
          <w:strike w:val="0"/>
          <w:color w:val="auto"/>
          <w:kern w:val="0"/>
          <w:highlight w:val="none"/>
          <w:lang w:eastAsia="zh-CN" w:bidi="ar"/>
        </w:rPr>
        <w:t>成交</w:t>
      </w:r>
      <w:r>
        <w:rPr>
          <w:rFonts w:hint="eastAsia" w:ascii="宋体" w:hAnsi="宋体" w:eastAsia="宋体" w:cs="宋体"/>
          <w:strike w:val="0"/>
          <w:color w:val="auto"/>
          <w:kern w:val="0"/>
          <w:highlight w:val="none"/>
          <w:lang w:bidi="ar"/>
        </w:rPr>
        <w:t>人在收到</w:t>
      </w:r>
      <w:r>
        <w:rPr>
          <w:rFonts w:hint="eastAsia" w:ascii="宋体" w:hAnsi="宋体" w:eastAsia="宋体" w:cs="宋体"/>
          <w:strike w:val="0"/>
          <w:color w:val="auto"/>
          <w:kern w:val="0"/>
          <w:highlight w:val="none"/>
          <w:lang w:eastAsia="zh-CN" w:bidi="ar"/>
        </w:rPr>
        <w:t>成交</w:t>
      </w:r>
      <w:r>
        <w:rPr>
          <w:rFonts w:hint="eastAsia" w:ascii="宋体" w:hAnsi="宋体" w:eastAsia="宋体" w:cs="宋体"/>
          <w:strike w:val="0"/>
          <w:color w:val="auto"/>
          <w:kern w:val="0"/>
          <w:highlight w:val="none"/>
          <w:lang w:bidi="ar"/>
        </w:rPr>
        <w:t xml:space="preserve">通知书后，无正当理由拒签合同协议书； </w:t>
      </w:r>
    </w:p>
    <w:p w14:paraId="7AA8C327">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(3）由于供应商的原因致使</w:t>
      </w:r>
      <w:r>
        <w:rPr>
          <w:rFonts w:hint="eastAsia" w:ascii="宋体" w:hAnsi="宋体" w:eastAsia="宋体" w:cs="宋体"/>
          <w:strike w:val="0"/>
          <w:color w:val="auto"/>
          <w:kern w:val="0"/>
          <w:highlight w:val="none"/>
          <w:lang w:eastAsia="zh-CN" w:bidi="ar"/>
        </w:rPr>
        <w:t>采购</w:t>
      </w:r>
      <w:r>
        <w:rPr>
          <w:rFonts w:hint="eastAsia" w:ascii="宋体" w:hAnsi="宋体" w:eastAsia="宋体" w:cs="宋体"/>
          <w:strike w:val="0"/>
          <w:color w:val="auto"/>
          <w:kern w:val="0"/>
          <w:highlight w:val="none"/>
          <w:lang w:bidi="ar"/>
        </w:rPr>
        <w:t xml:space="preserve">工作无法顺利进行。 </w:t>
      </w:r>
    </w:p>
    <w:p w14:paraId="1F7715CA">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(4）法律、法规规定的其它情形。</w:t>
      </w:r>
      <w:r>
        <w:rPr>
          <w:rFonts w:hint="eastAsia" w:ascii="宋体" w:hAnsi="宋体" w:eastAsia="宋体" w:cs="宋体"/>
          <w:b/>
          <w:bCs/>
          <w:strike w:val="0"/>
          <w:color w:val="auto"/>
          <w:kern w:val="0"/>
          <w:highlight w:val="none"/>
          <w:lang w:bidi="ar"/>
        </w:rPr>
        <w:t xml:space="preserve"> </w:t>
      </w:r>
    </w:p>
    <w:p w14:paraId="7F5AD57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3.5 资格审查资料 </w:t>
      </w:r>
    </w:p>
    <w:p w14:paraId="7D717777">
      <w:pPr>
        <w:widowControl/>
        <w:ind w:firstLine="482"/>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同响应人（供应商）须知前附表。</w:t>
      </w:r>
    </w:p>
    <w:p w14:paraId="0651B58E">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3.6 备选投标方案</w:t>
      </w:r>
    </w:p>
    <w:p w14:paraId="6D42A6E7">
      <w:pPr>
        <w:widowControl/>
        <w:adjustRightInd w:val="0"/>
        <w:snapToGrid w:val="0"/>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除供应商须知前附表另有规定外，供应商不得递交备选投标方案。 </w:t>
      </w:r>
    </w:p>
    <w:p w14:paraId="26FB4C2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3.7 响应文件的编制 </w:t>
      </w:r>
    </w:p>
    <w:p w14:paraId="093A83F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3.7.1 响应文件应按第六章“响应文件格式”进行编写，如有必要，可以增加附页，作为响应文件的组成部分。其中，</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函在满足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实质性要求的基础上，可以提出比</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要求更有利于采购人的承诺。 </w:t>
      </w:r>
    </w:p>
    <w:p w14:paraId="120FE01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3.7.2 响应文件应当对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有关服务期、投标有效期、质量要求、技术标准和要求、</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 xml:space="preserve">范围等实质性内容作出响应。 </w:t>
      </w:r>
    </w:p>
    <w:p w14:paraId="2B9428C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3.7.3 响应文件由供应商的法定代表人或其委托代理人签字或盖单位章。委托代理人签字的，响应文件应附法定代表人签署的授权委托书。</w:t>
      </w:r>
    </w:p>
    <w:p w14:paraId="2B33BD4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4．投标 </w:t>
      </w:r>
    </w:p>
    <w:p w14:paraId="5BC40406">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 xml:space="preserve">4.1 响应文件的密封和标记 </w:t>
      </w:r>
    </w:p>
    <w:p w14:paraId="76300837">
      <w:pPr>
        <w:widowControl/>
        <w:ind w:firstLine="482"/>
        <w:rPr>
          <w:rFonts w:hint="default"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val="en-US" w:eastAsia="zh-CN" w:bidi="ar"/>
        </w:rPr>
        <w:t>根据采购文件要求加密（若需）。</w:t>
      </w:r>
    </w:p>
    <w:p w14:paraId="37DB70C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4.2 响应文件的递交 </w:t>
      </w:r>
    </w:p>
    <w:p w14:paraId="57F3DD0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4.2.1 供应商应在供应商须知前附表规定的</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截止时间前递交响应文件。 </w:t>
      </w:r>
    </w:p>
    <w:p w14:paraId="5F26782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4.2.2 供应商递交响应文件的地点：见供应商须知前附表。 </w:t>
      </w:r>
    </w:p>
    <w:p w14:paraId="31E2FA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4.2.3 除供应商须知前附表另有规定外，供应商所递交的响应文件不予退还。 </w:t>
      </w:r>
    </w:p>
    <w:p w14:paraId="6ADE003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4.2.4 逾期送达的或者未送达指定地点</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上传平台</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 xml:space="preserve">的响应文件，采购人不予受理。 </w:t>
      </w:r>
    </w:p>
    <w:p w14:paraId="17E9EB1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4.3 响应文件的修改与撤回 </w:t>
      </w:r>
    </w:p>
    <w:p w14:paraId="2918070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4.3.1 在供应商须知前附表规定的</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截止时间前，供应商可以修改或撤回已递交的响应文件，</w:t>
      </w:r>
      <w:r>
        <w:rPr>
          <w:rFonts w:hint="eastAsia" w:ascii="宋体" w:hAnsi="宋体" w:eastAsia="宋体" w:cs="宋体"/>
          <w:color w:val="auto"/>
          <w:kern w:val="0"/>
          <w:highlight w:val="none"/>
          <w:lang w:val="en-US" w:eastAsia="zh-CN" w:bidi="ar"/>
        </w:rPr>
        <w:t>在响应截止时间之前重新提交</w:t>
      </w:r>
      <w:r>
        <w:rPr>
          <w:rFonts w:hint="eastAsia" w:ascii="宋体" w:hAnsi="宋体" w:eastAsia="宋体" w:cs="宋体"/>
          <w:color w:val="auto"/>
          <w:kern w:val="0"/>
          <w:highlight w:val="none"/>
          <w:lang w:bidi="ar"/>
        </w:rPr>
        <w:t xml:space="preserve">。 </w:t>
      </w:r>
    </w:p>
    <w:p w14:paraId="3A6F69E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4.3.2 供应商修改或撤回已递交响应文件的书面通知应按照本章第3.7.3项的要求签字或盖章。 </w:t>
      </w:r>
    </w:p>
    <w:p w14:paraId="42B0BB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5．开标 </w:t>
      </w:r>
    </w:p>
    <w:p w14:paraId="4003785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5.1 开标时间和地点 </w:t>
      </w:r>
    </w:p>
    <w:p w14:paraId="1278FB34">
      <w:pPr>
        <w:widowControl/>
        <w:ind w:firstLine="482"/>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见采购公告。</w:t>
      </w:r>
    </w:p>
    <w:p w14:paraId="111A1B9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5.2 开标程序 </w:t>
      </w:r>
    </w:p>
    <w:p w14:paraId="59BC213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主持人按下列程序进行开标： </w:t>
      </w:r>
    </w:p>
    <w:p w14:paraId="00974C34">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（1）会议准备：采购人或代理机构工作人员于</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7D8EFEA8">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（2）宣读纪律：开标时间到，采购人或代理机构工作人员宣布开标会开始，并宣读开标会会场纪律和注意事项。</w:t>
      </w:r>
    </w:p>
    <w:p w14:paraId="3728144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供应商代表身份验证：核验参加开标会议的供应商代表身份：</w:t>
      </w:r>
    </w:p>
    <w:p w14:paraId="4C8709C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①供应商的法定代表人参加开标会议的：应出示本人身份证（原件及复印件）、法定代表人身份证明原件、营业执照副本复印件加盖单位公章。</w:t>
      </w:r>
    </w:p>
    <w:p w14:paraId="722C7440">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40A23AA3">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4EB4D9C7">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（4）评审流程：评标委员会签到，确认无需回避后，推选一名评标组长，由评标组长按照以下流程组织评标。</w:t>
      </w:r>
    </w:p>
    <w:p w14:paraId="4E4086DA">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（5）初步审查：谈判小组严格依据响应文件所提供的资料，对照《</w:t>
      </w:r>
      <w:r>
        <w:rPr>
          <w:rFonts w:hint="eastAsia" w:ascii="宋体" w:hAnsi="宋体" w:eastAsia="宋体" w:cs="宋体"/>
          <w:color w:val="auto"/>
          <w:sz w:val="24"/>
          <w:szCs w:val="24"/>
          <w:highlight w:val="none"/>
          <w:lang w:eastAsia="zh-CN"/>
        </w:rPr>
        <w:t>评标办法前附表</w:t>
      </w:r>
      <w:r>
        <w:rPr>
          <w:rFonts w:hint="eastAsia" w:ascii="宋体" w:hAnsi="宋体" w:eastAsia="宋体" w:cs="宋体"/>
          <w:color w:val="auto"/>
          <w:sz w:val="24"/>
          <w:szCs w:val="24"/>
          <w:highlight w:val="none"/>
        </w:rPr>
        <w:t xml:space="preserve">》所列内容对供应商进行资格性审查及符合性审查，审查通过的供应商进入谈判环节。未通过初步审查的响应文件不参与最后报价。通过初步审查的供应商不足三家的，本项目废标，谈判工作结束。 </w:t>
      </w:r>
    </w:p>
    <w:p w14:paraId="41E47945">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（6）通过资格审查、符合性审查的供应商进行第二轮报价（最终报价）。</w:t>
      </w:r>
    </w:p>
    <w:p w14:paraId="6068DAC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注：报价时间为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分钟，供应商需在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0分钟内完成二次报价（最终），未在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0分钟内完成二次报价（最终）的默认一次报价为二次报价（最终）。</w:t>
      </w:r>
    </w:p>
    <w:p w14:paraId="1C287FC2">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（7）由谈判专家组对供应商所递交的</w:t>
      </w:r>
      <w:r>
        <w:rPr>
          <w:rFonts w:hint="eastAsia" w:ascii="宋体" w:hAnsi="宋体" w:eastAsia="宋体" w:cs="宋体"/>
          <w:color w:val="auto"/>
          <w:sz w:val="24"/>
          <w:szCs w:val="24"/>
          <w:highlight w:val="none"/>
          <w:lang w:eastAsia="zh-CN"/>
        </w:rPr>
        <w:t>响应文件及最终报价进行评审和排序</w:t>
      </w:r>
      <w:r>
        <w:rPr>
          <w:rFonts w:hint="eastAsia" w:ascii="宋体" w:hAnsi="宋体" w:eastAsia="宋体" w:cs="宋体"/>
          <w:color w:val="auto"/>
          <w:sz w:val="24"/>
          <w:szCs w:val="24"/>
          <w:highlight w:val="none"/>
        </w:rPr>
        <w:t>并汇总评审结果，评标委员会成员须在评标报告上签字确认。</w:t>
      </w:r>
    </w:p>
    <w:p w14:paraId="6F9727ED">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（8）谈判结束：谈判小组出具评审报告并复核无误后，谈判工作结束。待代理机构工作人员收理好响应文件资料专家方可离开谈判区。谈判过程中谈判专家不得擅自离开谈判室或进入其他开评标室。</w:t>
      </w:r>
    </w:p>
    <w:p w14:paraId="7EEC26A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6．评标 </w:t>
      </w:r>
    </w:p>
    <w:p w14:paraId="27A94F8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6.1 资格审查 </w:t>
      </w:r>
    </w:p>
    <w:p w14:paraId="151AF5D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采购人或者采购代理机构应当依法对供应商的资格进行审查。合格供应商不足3家的，不得评标。 </w:t>
      </w:r>
    </w:p>
    <w:p w14:paraId="4086A28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根据前款规定，开标后由采购人或采购代理机构依据</w:t>
      </w:r>
      <w:r>
        <w:rPr>
          <w:rFonts w:hint="eastAsia" w:ascii="宋体" w:hAnsi="宋体" w:eastAsia="宋体" w:cs="宋体"/>
          <w:color w:val="auto"/>
          <w:kern w:val="0"/>
          <w:highlight w:val="none"/>
          <w:lang w:val="en-US" w:eastAsia="zh-CN" w:bidi="ar"/>
        </w:rPr>
        <w:t>供应商须知前附表</w:t>
      </w:r>
      <w:r>
        <w:rPr>
          <w:rFonts w:hint="eastAsia" w:ascii="宋体" w:hAnsi="宋体" w:eastAsia="宋体" w:cs="宋体"/>
          <w:color w:val="auto"/>
          <w:kern w:val="0"/>
          <w:highlight w:val="none"/>
          <w:lang w:bidi="ar"/>
        </w:rPr>
        <w:t>规定对供应商的资格进行审查，以确定其是否具备投标资格。如果供应商不具备投标资格，不能满足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所规定的资格标准或提供资格证明文件不全的，按无效标处理。 </w:t>
      </w:r>
    </w:p>
    <w:p w14:paraId="232C2042">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 xml:space="preserve">6.2 评标委员会 </w:t>
      </w:r>
    </w:p>
    <w:p w14:paraId="6E5CD06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6.2.1 评标由采购人依法组建的评标委员会负责。评标委员会由采购人代表组成。评标委员会成员人数见供应商须知前附表。 </w:t>
      </w:r>
    </w:p>
    <w:p w14:paraId="3DE39FC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6.2.2 评标委员会成员有下列情形之一的，应当回避： </w:t>
      </w:r>
    </w:p>
    <w:p w14:paraId="57F4110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(1）供应商或供应商的主要负责人的近亲属； </w:t>
      </w:r>
    </w:p>
    <w:p w14:paraId="289B5A2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(2）项目主管部门或者行政监督部门的人员： </w:t>
      </w:r>
    </w:p>
    <w:p w14:paraId="02EC9E1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(3）与供应商有经济利益关系，可能影响对投标公正评审的； </w:t>
      </w:r>
    </w:p>
    <w:p w14:paraId="3517B50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(4）曾因在</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、评标以及其他与</w:t>
      </w:r>
      <w:r>
        <w:rPr>
          <w:rFonts w:hint="eastAsia" w:ascii="宋体" w:hAnsi="宋体" w:eastAsia="宋体" w:cs="宋体"/>
          <w:color w:val="auto"/>
          <w:kern w:val="0"/>
          <w:highlight w:val="none"/>
          <w:lang w:val="en-US" w:eastAsia="zh-CN" w:bidi="ar"/>
        </w:rPr>
        <w:t>采购</w:t>
      </w:r>
      <w:r>
        <w:rPr>
          <w:rFonts w:hint="eastAsia" w:ascii="宋体" w:hAnsi="宋体" w:eastAsia="宋体" w:cs="宋体"/>
          <w:color w:val="auto"/>
          <w:kern w:val="0"/>
          <w:highlight w:val="none"/>
          <w:lang w:bidi="ar"/>
        </w:rPr>
        <w:t xml:space="preserve">有关活动中从事违法行为而受过行政处罚或刑事处罚的。 </w:t>
      </w:r>
    </w:p>
    <w:p w14:paraId="1B0494D0">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6.3 评标原则 </w:t>
      </w:r>
    </w:p>
    <w:p w14:paraId="42B15AC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评标活动遵循公平、公正、科学和择优的原则。采购人不承诺最低价</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，而且采购人没有义务向未</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人解释未</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原因。 </w:t>
      </w:r>
    </w:p>
    <w:p w14:paraId="78D3964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6.4 评标 </w:t>
      </w:r>
    </w:p>
    <w:p w14:paraId="290500A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评标委员会按照第三章“评标办法”规定的方法、评审因素、标准和程序对响应文件进行评审。第三章“评标办法”没有规定的方法、评审因素和标准，不作为评标依据。 </w:t>
      </w:r>
    </w:p>
    <w:p w14:paraId="63D2B5B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7．合同授予 </w:t>
      </w:r>
    </w:p>
    <w:p w14:paraId="44EAC89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7.1 定标方式 </w:t>
      </w:r>
    </w:p>
    <w:p w14:paraId="6500843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除供应商须知前附表规定评标委员会直接确定成交人外，采购人依据评标委员会推荐的成交候选人确定成交人，评标委员会推荐成交候选人的人数见供应商须知前附表。 </w:t>
      </w:r>
    </w:p>
    <w:p w14:paraId="050E47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7.2 </w:t>
      </w:r>
      <w:r>
        <w:rPr>
          <w:rFonts w:hint="eastAsia" w:ascii="宋体" w:hAnsi="宋体" w:eastAsia="宋体" w:cs="宋体"/>
          <w:b/>
          <w:bCs/>
          <w:color w:val="auto"/>
          <w:kern w:val="0"/>
          <w:highlight w:val="none"/>
          <w:lang w:eastAsia="zh-CN" w:bidi="ar"/>
        </w:rPr>
        <w:t>成交</w:t>
      </w:r>
      <w:r>
        <w:rPr>
          <w:rFonts w:hint="eastAsia" w:ascii="宋体" w:hAnsi="宋体" w:eastAsia="宋体" w:cs="宋体"/>
          <w:b/>
          <w:bCs/>
          <w:color w:val="auto"/>
          <w:kern w:val="0"/>
          <w:highlight w:val="none"/>
          <w:lang w:bidi="ar"/>
        </w:rPr>
        <w:t xml:space="preserve">通知 </w:t>
      </w:r>
    </w:p>
    <w:p w14:paraId="42945D5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在本章第3.3款规定的投标有效期内，采购人以书面形式向</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人发出成交通知书，同时将成交结果通知未</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的供应商。 </w:t>
      </w:r>
    </w:p>
    <w:p w14:paraId="26CB994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7.3 履约担保：</w:t>
      </w:r>
      <w:r>
        <w:rPr>
          <w:rFonts w:hint="eastAsia" w:ascii="宋体" w:hAnsi="宋体" w:eastAsia="宋体" w:cs="宋体"/>
          <w:color w:val="auto"/>
          <w:kern w:val="0"/>
          <w:highlight w:val="none"/>
          <w:lang w:bidi="ar"/>
        </w:rPr>
        <w:t>具体由</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人在与采购人签订合同时约定。 </w:t>
      </w:r>
    </w:p>
    <w:p w14:paraId="14EA57A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7.4 签订合同 </w:t>
      </w:r>
    </w:p>
    <w:p w14:paraId="77556FCD">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7.4.1 采购人和成交人应当自成交通知书发出之日起</w:t>
      </w:r>
      <w:r>
        <w:rPr>
          <w:rFonts w:hint="eastAsia" w:ascii="宋体" w:hAnsi="宋体" w:eastAsia="宋体" w:cs="宋体"/>
          <w:color w:val="auto"/>
          <w:kern w:val="0"/>
          <w:highlight w:val="none"/>
          <w:lang w:val="en-US" w:eastAsia="zh-CN" w:bidi="ar"/>
        </w:rPr>
        <w:t>30</w:t>
      </w:r>
      <w:r>
        <w:rPr>
          <w:rFonts w:hint="eastAsia" w:ascii="宋体" w:hAnsi="宋体" w:eastAsia="宋体" w:cs="宋体"/>
          <w:color w:val="auto"/>
          <w:kern w:val="0"/>
          <w:highlight w:val="none"/>
          <w:lang w:bidi="ar"/>
        </w:rPr>
        <w:t>天内，根据</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和成交人的响应文件订立书面合同。成交人无正当理由拒签合同的，采购人取消其成交资格，给采购人造成的损失的，成交人还应当其予以补偿。 </w:t>
      </w:r>
    </w:p>
    <w:p w14:paraId="2186B47D">
      <w:pPr>
        <w:widowControl/>
        <w:ind w:firstLine="480"/>
        <w:rPr>
          <w:rFonts w:hint="eastAsia" w:ascii="宋体" w:hAnsi="宋体" w:eastAsia="宋体" w:cs="宋体"/>
          <w:color w:val="auto"/>
          <w:kern w:val="0"/>
          <w:highlight w:val="none"/>
          <w:lang w:val="en-US" w:eastAsia="zh-CN" w:bidi="ar"/>
        </w:rPr>
      </w:pPr>
      <w:r>
        <w:rPr>
          <w:rFonts w:hint="eastAsia" w:ascii="宋体" w:hAnsi="宋体" w:eastAsia="宋体" w:cs="宋体"/>
          <w:b/>
          <w:bCs/>
          <w:strike w:val="0"/>
          <w:dstrike w:val="0"/>
          <w:color w:val="auto"/>
          <w:kern w:val="0"/>
          <w:highlight w:val="none"/>
          <w:lang w:val="en-US" w:eastAsia="zh-CN" w:bidi="ar"/>
        </w:rPr>
        <w:t>7.</w:t>
      </w:r>
      <w:r>
        <w:rPr>
          <w:rFonts w:hint="eastAsia" w:ascii="宋体" w:hAnsi="宋体" w:eastAsia="宋体" w:cs="宋体"/>
          <w:b/>
          <w:bCs/>
          <w:color w:val="auto"/>
          <w:kern w:val="0"/>
          <w:highlight w:val="none"/>
          <w:lang w:val="en-US" w:eastAsia="zh-CN" w:bidi="ar"/>
        </w:rPr>
        <w:t>5 履约保证金：见供应商须知前附表。</w:t>
      </w:r>
    </w:p>
    <w:p w14:paraId="4EDC242F">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确定成交的供应商后，由代理机构向其签发《成交通知书》，供应商在接到《成交通知书》领取通知后7个工作日内领取。成交供应商在接到《成交通知书》30 日内与采购人签订合同。</w:t>
      </w:r>
    </w:p>
    <w:p w14:paraId="3FCE510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供应商在</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文件时限内拒绝（未）领取《成交通知书》的，视为自动放弃成交资格，采购人有权追究其相应法律责任。</w:t>
      </w:r>
    </w:p>
    <w:p w14:paraId="420D84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8．重新</w:t>
      </w:r>
      <w:r>
        <w:rPr>
          <w:rFonts w:hint="eastAsia" w:ascii="宋体" w:hAnsi="宋体" w:eastAsia="宋体" w:cs="宋体"/>
          <w:b/>
          <w:bCs/>
          <w:color w:val="auto"/>
          <w:kern w:val="0"/>
          <w:highlight w:val="none"/>
          <w:lang w:eastAsia="zh-CN" w:bidi="ar"/>
        </w:rPr>
        <w:t>采购</w:t>
      </w:r>
      <w:r>
        <w:rPr>
          <w:rFonts w:hint="eastAsia" w:ascii="宋体" w:hAnsi="宋体" w:eastAsia="宋体" w:cs="宋体"/>
          <w:b/>
          <w:bCs/>
          <w:color w:val="auto"/>
          <w:kern w:val="0"/>
          <w:highlight w:val="none"/>
          <w:lang w:bidi="ar"/>
        </w:rPr>
        <w:t>和不再</w:t>
      </w:r>
      <w:r>
        <w:rPr>
          <w:rFonts w:hint="eastAsia" w:ascii="宋体" w:hAnsi="宋体" w:eastAsia="宋体" w:cs="宋体"/>
          <w:b/>
          <w:bCs/>
          <w:color w:val="auto"/>
          <w:kern w:val="0"/>
          <w:highlight w:val="none"/>
          <w:lang w:eastAsia="zh-CN" w:bidi="ar"/>
        </w:rPr>
        <w:t>采购</w:t>
      </w:r>
      <w:r>
        <w:rPr>
          <w:rFonts w:hint="eastAsia" w:ascii="宋体" w:hAnsi="宋体" w:eastAsia="宋体" w:cs="宋体"/>
          <w:b/>
          <w:bCs/>
          <w:color w:val="auto"/>
          <w:kern w:val="0"/>
          <w:highlight w:val="none"/>
          <w:lang w:bidi="ar"/>
        </w:rPr>
        <w:t xml:space="preserve"> </w:t>
      </w:r>
    </w:p>
    <w:p w14:paraId="4DE01F6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8.1 重新</w:t>
      </w:r>
      <w:r>
        <w:rPr>
          <w:rFonts w:hint="eastAsia" w:ascii="宋体" w:hAnsi="宋体" w:eastAsia="宋体" w:cs="宋体"/>
          <w:b/>
          <w:bCs/>
          <w:color w:val="auto"/>
          <w:kern w:val="0"/>
          <w:highlight w:val="none"/>
          <w:lang w:eastAsia="zh-CN" w:bidi="ar"/>
        </w:rPr>
        <w:t>采购</w:t>
      </w:r>
      <w:r>
        <w:rPr>
          <w:rFonts w:hint="eastAsia" w:ascii="宋体" w:hAnsi="宋体" w:eastAsia="宋体" w:cs="宋体"/>
          <w:b/>
          <w:bCs/>
          <w:color w:val="auto"/>
          <w:kern w:val="0"/>
          <w:highlight w:val="none"/>
          <w:lang w:bidi="ar"/>
        </w:rPr>
        <w:t xml:space="preserve"> </w:t>
      </w:r>
    </w:p>
    <w:p w14:paraId="73F63AA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有下列情形之一的，采购人将重新</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 xml:space="preserve">： </w:t>
      </w:r>
    </w:p>
    <w:p w14:paraId="752B8B2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截止时间，供应商少于3个的； </w:t>
      </w:r>
    </w:p>
    <w:p w14:paraId="41A4614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(2)经评标委员会评审后否决所有投标的； </w:t>
      </w:r>
    </w:p>
    <w:p w14:paraId="45B26EE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(3)评标委员会否决不合格报价或者界定为无效报价后因有效投标不足3个使得报价明显缺乏竞争，评标委员会决定否决全部投标的。 </w:t>
      </w:r>
    </w:p>
    <w:p w14:paraId="079EB4E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(4)同意延长投标有效期的供应商少于3个的。 </w:t>
      </w:r>
    </w:p>
    <w:p w14:paraId="0D3C96A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8.2 不再</w:t>
      </w:r>
      <w:r>
        <w:rPr>
          <w:rFonts w:hint="eastAsia" w:ascii="宋体" w:hAnsi="宋体" w:eastAsia="宋体" w:cs="宋体"/>
          <w:b/>
          <w:bCs/>
          <w:color w:val="auto"/>
          <w:kern w:val="0"/>
          <w:highlight w:val="none"/>
          <w:lang w:eastAsia="zh-CN" w:bidi="ar"/>
        </w:rPr>
        <w:t>采购</w:t>
      </w:r>
      <w:r>
        <w:rPr>
          <w:rFonts w:hint="eastAsia" w:ascii="宋体" w:hAnsi="宋体" w:eastAsia="宋体" w:cs="宋体"/>
          <w:b/>
          <w:bCs/>
          <w:color w:val="auto"/>
          <w:kern w:val="0"/>
          <w:highlight w:val="none"/>
          <w:lang w:bidi="ar"/>
        </w:rPr>
        <w:t xml:space="preserve"> </w:t>
      </w:r>
    </w:p>
    <w:p w14:paraId="19A68F9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重新</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后供应商仍少于3个或者所有投标被否决的，属于必须审批或核准的项目，经原审批或核准部门批准后不再进行</w:t>
      </w:r>
      <w:r>
        <w:rPr>
          <w:rFonts w:hint="eastAsia" w:ascii="宋体" w:hAnsi="宋体" w:eastAsia="宋体" w:cs="宋体"/>
          <w:color w:val="auto"/>
          <w:kern w:val="0"/>
          <w:highlight w:val="none"/>
          <w:lang w:eastAsia="zh-CN" w:bidi="ar"/>
        </w:rPr>
        <w:t>采购</w:t>
      </w:r>
      <w:r>
        <w:rPr>
          <w:rFonts w:hint="eastAsia" w:ascii="宋体" w:hAnsi="宋体" w:eastAsia="宋体" w:cs="宋体"/>
          <w:color w:val="auto"/>
          <w:kern w:val="0"/>
          <w:highlight w:val="none"/>
          <w:lang w:bidi="ar"/>
        </w:rPr>
        <w:t xml:space="preserve">。 </w:t>
      </w:r>
    </w:p>
    <w:p w14:paraId="22DFE1C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9．纪律要求、投诉、监督、质疑、处罚 </w:t>
      </w:r>
    </w:p>
    <w:p w14:paraId="7BC070E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9.1 对采购人的纪律要求 </w:t>
      </w:r>
    </w:p>
    <w:p w14:paraId="2F01669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采购人不得泄漏</w:t>
      </w:r>
      <w:r>
        <w:rPr>
          <w:rFonts w:hint="eastAsia" w:ascii="宋体" w:hAnsi="宋体" w:eastAsia="宋体" w:cs="宋体"/>
          <w:color w:val="auto"/>
          <w:kern w:val="0"/>
          <w:highlight w:val="none"/>
          <w:lang w:val="en-US" w:eastAsia="zh-CN" w:bidi="ar"/>
        </w:rPr>
        <w:t>采购</w:t>
      </w:r>
      <w:r>
        <w:rPr>
          <w:rFonts w:hint="eastAsia" w:ascii="宋体" w:hAnsi="宋体" w:eastAsia="宋体" w:cs="宋体"/>
          <w:color w:val="auto"/>
          <w:kern w:val="0"/>
          <w:highlight w:val="none"/>
          <w:lang w:bidi="ar"/>
        </w:rPr>
        <w:t xml:space="preserve">活动中应当保密的情况和资料，不得与供应商串通损害国家利益、社会公共利益或者他人合法权益。 </w:t>
      </w:r>
    </w:p>
    <w:p w14:paraId="4DB5B6F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9.2 对供应商的纪律要求 </w:t>
      </w:r>
    </w:p>
    <w:p w14:paraId="62F65F7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供应商不得相互串通投标或者与采购人串通投标，不得向采购人或者评标委员会成员行贿谋取中标，不得以他人名义投标或者以其他方式弄虚作假骗取中标；供应商不得以任何方式干扰、影响评标工作。 </w:t>
      </w:r>
    </w:p>
    <w:p w14:paraId="5A4DEEF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9.3 对评标委员会成员的纪律要求 </w:t>
      </w:r>
    </w:p>
    <w:p w14:paraId="1919845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评标委员会成员不得收受他人的财物或者其他好处，不得向他人透漏对响应文件的评审和比较、</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候选人的推荐情况以及评标有关的其他情况。在评标活动中，评标委员会成员不得擅离职守，影响评标程序正常进行，不得使用第三章“评标办法”没有规定的评审因素和标准进行评标。 </w:t>
      </w:r>
    </w:p>
    <w:p w14:paraId="7156AF6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9.4 对与评标活动有关的工作人员的纪律要求 </w:t>
      </w:r>
    </w:p>
    <w:p w14:paraId="631189E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与评标活动有关的工作人员不得收受他人的财物或者其他好处，不得向他人透漏对响应文件的评审和比较、</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候选人的推荐情况以及评标有关的其他情况。在评标活动中，与评标活动有关的工作人员不得擅离职守，影响评标程序正常进行。 </w:t>
      </w:r>
    </w:p>
    <w:p w14:paraId="51735152">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9.5 投诉</w:t>
      </w:r>
    </w:p>
    <w:p w14:paraId="6C7562C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采购活动的质疑和投诉按《中华人民共和国政府采购法》及《中华人民共和国政府采购法实施条例》的有关规定执行，质疑和投诉范本在中国政府采购网上下载。不使用质疑和投诉范本的，代理机构（采购人）或监督部门不予受理。 </w:t>
      </w:r>
    </w:p>
    <w:p w14:paraId="3A3A8BA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9.5.1 质疑主体： </w:t>
      </w:r>
    </w:p>
    <w:p w14:paraId="78361FA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提出质疑的供应商应当是参加所质疑项目采购活动的供应商，潜在供应商已依法获取其可质疑的采购文件的，可以对该文件提出质疑，对采购文件提出质疑的，应当获取采购文件或者采购文件公告期限届满之日起7个工作日内提出。对</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结果提出质疑的，应当为</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公告发出之日起7个工作日内提出，对开标现场提出质疑的，应当现场提出。 </w:t>
      </w:r>
    </w:p>
    <w:p w14:paraId="0E6A577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9.5.2 递交形式：书面现场递交 </w:t>
      </w:r>
    </w:p>
    <w:p w14:paraId="2BF4E6C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（1）质疑文件以书面形式加盖公章后送达到</w:t>
      </w:r>
      <w:r>
        <w:rPr>
          <w:rFonts w:hint="eastAsia" w:ascii="宋体" w:hAnsi="宋体" w:eastAsia="宋体" w:cs="宋体"/>
          <w:b/>
          <w:bCs/>
          <w:color w:val="auto"/>
          <w:kern w:val="0"/>
          <w:highlight w:val="none"/>
          <w:lang w:eastAsia="zh-CN" w:bidi="ar"/>
        </w:rPr>
        <w:t>遵义交科工程检测有限公司</w:t>
      </w:r>
      <w:r>
        <w:rPr>
          <w:rFonts w:hint="eastAsia" w:ascii="宋体" w:hAnsi="宋体" w:eastAsia="宋体" w:cs="宋体"/>
          <w:b/>
          <w:bCs/>
          <w:color w:val="auto"/>
          <w:kern w:val="0"/>
          <w:highlight w:val="none"/>
          <w:lang w:bidi="ar"/>
        </w:rPr>
        <w:t>（</w:t>
      </w:r>
      <w:r>
        <w:rPr>
          <w:rFonts w:hint="eastAsia" w:ascii="宋体" w:hAnsi="宋体" w:eastAsia="宋体" w:cs="宋体"/>
          <w:b/>
          <w:bCs/>
          <w:color w:val="auto"/>
          <w:kern w:val="0"/>
          <w:highlight w:val="none"/>
          <w:lang w:val="en-US" w:eastAsia="zh-CN" w:bidi="ar"/>
        </w:rPr>
        <w:t>遵义市新蒲新区兴遵西路8号</w:t>
      </w:r>
      <w:r>
        <w:rPr>
          <w:rFonts w:hint="eastAsia" w:ascii="宋体" w:hAnsi="宋体" w:eastAsia="宋体" w:cs="宋体"/>
          <w:b/>
          <w:bCs/>
          <w:color w:val="auto"/>
          <w:kern w:val="0"/>
          <w:highlight w:val="none"/>
          <w:lang w:bidi="ar"/>
        </w:rPr>
        <w:t>）。</w:t>
      </w:r>
    </w:p>
    <w:p w14:paraId="7711508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（2）质疑材料包括营业执照复印件、法人授权委托书，以及《政府采购质疑和投诉办法》要求提供证明材料。（以上资料均须加盖单位公章），未按照本项要求提供资料的，不予接收。 </w:t>
      </w:r>
    </w:p>
    <w:p w14:paraId="4A5C181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9.5.3 领取答疑回复地点</w:t>
      </w:r>
      <w:r>
        <w:rPr>
          <w:rFonts w:hint="eastAsia" w:ascii="宋体" w:hAnsi="宋体" w:eastAsia="宋体" w:cs="宋体"/>
          <w:b/>
          <w:bCs/>
          <w:color w:val="auto"/>
          <w:kern w:val="0"/>
          <w:highlight w:val="none"/>
          <w:lang w:eastAsia="zh-CN" w:bidi="ar"/>
        </w:rPr>
        <w:t>遵义交科工程检测有限公司</w:t>
      </w:r>
      <w:r>
        <w:rPr>
          <w:rFonts w:hint="eastAsia" w:ascii="宋体" w:hAnsi="宋体" w:eastAsia="宋体" w:cs="宋体"/>
          <w:b/>
          <w:bCs/>
          <w:color w:val="auto"/>
          <w:kern w:val="0"/>
          <w:highlight w:val="none"/>
          <w:lang w:bidi="ar"/>
        </w:rPr>
        <w:t>（</w:t>
      </w:r>
      <w:r>
        <w:rPr>
          <w:rFonts w:hint="eastAsia" w:ascii="宋体" w:hAnsi="宋体" w:eastAsia="宋体" w:cs="宋体"/>
          <w:b/>
          <w:bCs/>
          <w:color w:val="auto"/>
          <w:kern w:val="0"/>
          <w:highlight w:val="none"/>
          <w:lang w:val="en-US" w:eastAsia="zh-CN" w:bidi="ar"/>
        </w:rPr>
        <w:t>遵义市新蒲新区兴遵西路8号</w:t>
      </w:r>
      <w:r>
        <w:rPr>
          <w:rFonts w:hint="eastAsia" w:ascii="宋体" w:hAnsi="宋体" w:eastAsia="宋体" w:cs="宋体"/>
          <w:b/>
          <w:bCs/>
          <w:color w:val="auto"/>
          <w:kern w:val="0"/>
          <w:highlight w:val="none"/>
          <w:lang w:bidi="ar"/>
        </w:rPr>
        <w:t>）。</w:t>
      </w:r>
    </w:p>
    <w:p w14:paraId="5D8076D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9.5.4 供应商在法定质疑期内必须一次性提出针对同一采购程序环节的质疑。 </w:t>
      </w:r>
    </w:p>
    <w:p w14:paraId="59F184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9.5.5 根据《政府采购质疑和投诉办法》 第三十七条的规定投诉人在全国范围12 个月内三次以上投诉查无实据的，由财政部门列入不良行为记录名单。 </w:t>
      </w:r>
    </w:p>
    <w:p w14:paraId="5975656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9.5.6 供应商捏造事实、提供虚假材料或者以非法手段取得证明材料进行投诉的，由财政部门列入不良行为记录名单，禁止其1至3年内参加政府采购活动。质疑和投诉事宜严格按中华人民共和国财政部令第94号--采购质疑和投诉办法进行。 </w:t>
      </w:r>
    </w:p>
    <w:p w14:paraId="0E2261F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10．需要补充的其他内容 </w:t>
      </w:r>
    </w:p>
    <w:p w14:paraId="65F5048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10.1 需要补充的其他内容：见供应商须知前附表。 </w:t>
      </w:r>
    </w:p>
    <w:p w14:paraId="1142EA19">
      <w:pPr>
        <w:pStyle w:val="2"/>
        <w:bidi w:val="0"/>
        <w:rPr>
          <w:rFonts w:hint="eastAsia"/>
          <w:color w:val="auto"/>
          <w:highlight w:val="none"/>
        </w:rPr>
      </w:pPr>
      <w:bookmarkStart w:id="13" w:name="_Toc15054"/>
      <w:r>
        <w:rPr>
          <w:rFonts w:hint="eastAsia" w:ascii="宋体" w:hAnsi="宋体" w:eastAsia="宋体" w:cs="宋体"/>
          <w:b/>
          <w:bCs/>
          <w:color w:val="auto"/>
          <w:kern w:val="0"/>
          <w:szCs w:val="31"/>
          <w:highlight w:val="none"/>
          <w:lang w:bidi="ar"/>
        </w:rPr>
        <w:br w:type="page"/>
      </w:r>
      <w:bookmarkStart w:id="14" w:name="_Toc120"/>
      <w:r>
        <w:rPr>
          <w:rFonts w:hint="eastAsia" w:ascii="宋体" w:hAnsi="宋体" w:eastAsia="宋体" w:cs="宋体"/>
          <w:b/>
          <w:bCs/>
          <w:color w:val="auto"/>
          <w:kern w:val="0"/>
          <w:sz w:val="31"/>
          <w:szCs w:val="31"/>
          <w:highlight w:val="none"/>
          <w:lang w:val="en-US" w:eastAsia="zh-CN" w:bidi="ar"/>
        </w:rPr>
        <w:t>第三章 评标办法（综合评分法）</w:t>
      </w:r>
      <w:bookmarkEnd w:id="13"/>
      <w:bookmarkEnd w:id="14"/>
    </w:p>
    <w:p w14:paraId="56D8137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一、评标委员会 </w:t>
      </w:r>
    </w:p>
    <w:p w14:paraId="0210286B">
      <w:pPr>
        <w:widowControl/>
        <w:ind w:firstLine="480"/>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评标委员会由有关技术、经济等方面的专家组成，成员人数应当为</w:t>
      </w:r>
      <w:r>
        <w:rPr>
          <w:rFonts w:hint="eastAsia" w:ascii="宋体" w:hAnsi="宋体" w:eastAsia="宋体" w:cs="宋体"/>
          <w:b/>
          <w:bCs/>
          <w:color w:val="auto"/>
          <w:kern w:val="0"/>
          <w:highlight w:val="none"/>
          <w:lang w:val="en-US" w:eastAsia="zh-CN" w:bidi="ar"/>
        </w:rPr>
        <w:t>3</w:t>
      </w:r>
      <w:r>
        <w:rPr>
          <w:rFonts w:hint="eastAsia" w:ascii="宋体" w:hAnsi="宋体" w:eastAsia="宋体" w:cs="宋体"/>
          <w:b/>
          <w:bCs/>
          <w:color w:val="auto"/>
          <w:kern w:val="0"/>
          <w:highlight w:val="none"/>
          <w:lang w:bidi="ar"/>
        </w:rPr>
        <w:t>人（含）以上的单数</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 xml:space="preserve">其中，技术、经济等方面的专家不得少于成员总数的三分之二。 </w:t>
      </w:r>
    </w:p>
    <w:p w14:paraId="1C77A02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二、评标原则 </w:t>
      </w:r>
    </w:p>
    <w:p w14:paraId="3CBA7A6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1、认真贯彻国家有关政府采购法律、法规和政策，维护国家利益； </w:t>
      </w:r>
    </w:p>
    <w:p w14:paraId="7275759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2、维护采购人的合法利益； </w:t>
      </w:r>
    </w:p>
    <w:p w14:paraId="0467431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3、严格按照</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的要求和条件进行评议； </w:t>
      </w:r>
    </w:p>
    <w:p w14:paraId="4759D55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4、在评标过程中及评标结束后，评标委员会的研究情况和所有供应商的商业秘密都属于保密内容； </w:t>
      </w:r>
    </w:p>
    <w:p w14:paraId="03CE1B90">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三、评标委员会职责 </w:t>
      </w:r>
    </w:p>
    <w:p w14:paraId="6713DC6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1、审查、评价响应文件是否符合</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的商务、技术等实质性要求； </w:t>
      </w:r>
    </w:p>
    <w:p w14:paraId="75765EE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2、要求供应商对响应文件有关事项作出澄清或者说明； </w:t>
      </w:r>
    </w:p>
    <w:p w14:paraId="39BD21C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3、对响应文件进行比较和评价； </w:t>
      </w:r>
    </w:p>
    <w:p w14:paraId="4C77799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4、确定成交候选人名单，以及根据采购人委托直接确定</w:t>
      </w:r>
      <w:r>
        <w:rPr>
          <w:rFonts w:hint="eastAsia" w:ascii="宋体" w:hAnsi="宋体" w:eastAsia="宋体" w:cs="宋体"/>
          <w:color w:val="auto"/>
          <w:kern w:val="0"/>
          <w:highlight w:val="none"/>
          <w:lang w:eastAsia="zh-CN" w:bidi="ar"/>
        </w:rPr>
        <w:t>成交</w:t>
      </w:r>
      <w:r>
        <w:rPr>
          <w:rFonts w:hint="eastAsia" w:ascii="宋体" w:hAnsi="宋体" w:eastAsia="宋体" w:cs="宋体"/>
          <w:color w:val="auto"/>
          <w:kern w:val="0"/>
          <w:highlight w:val="none"/>
          <w:lang w:bidi="ar"/>
        </w:rPr>
        <w:t xml:space="preserve">人； </w:t>
      </w:r>
    </w:p>
    <w:p w14:paraId="70D814D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5、向采购人、采购代理机构或者有关部门报告评标中发现的违法行为； </w:t>
      </w:r>
    </w:p>
    <w:p w14:paraId="0B352A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6、法律、法规和规章规定的其他义务。 </w:t>
      </w:r>
    </w:p>
    <w:p w14:paraId="55B552E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四、评审专家在政府采购活动中应当遵守以下工作纪律 </w:t>
      </w:r>
    </w:p>
    <w:p w14:paraId="0BE59D4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1、按时参加评审和咨询活动。遇特殊情况不能出席或途中遇阻不能按时参加评审或咨询的，应及时告知。 </w:t>
      </w:r>
    </w:p>
    <w:p w14:paraId="4B82FAD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2、不得参加与自己有利害关系的政府采购项目的评审活动。对与自己有利害关系的评审项目，应主动提出回避。行政监管部门、采购人或采购代理机构也可要求该评审人员回避。</w:t>
      </w:r>
    </w:p>
    <w:p w14:paraId="6CB560E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 </w:t>
      </w:r>
    </w:p>
    <w:p w14:paraId="49FA162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 </w:t>
      </w:r>
    </w:p>
    <w:p w14:paraId="3673DF7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五、评标程序 </w:t>
      </w:r>
    </w:p>
    <w:p w14:paraId="679B07C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根据财政部对《政府采购货物和服务招标投标管理办法》（财政部令第87号）第四十四条规定：</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采购项目开标结束后，采购人或者采购代理机构应当依法对供应商的资格进行审查。合格供应商不足3家的，不得评标。 </w:t>
      </w:r>
    </w:p>
    <w:p w14:paraId="7CB7F1E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根据前款规定，开标后由采购代理机构依据第二章6.1条规定进行资格审查，以确定其是否具备投标资格。如果供应商不具备投标资格，不能满足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所规定的资格标准或提供资格证明文件不全的，按无效投标处理。 </w:t>
      </w:r>
    </w:p>
    <w:p w14:paraId="02DCB77D">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采购代理机构资格审查完成后向评标委员会提交资格审查报告。由评标委员会对资格审查合格的供应商进行评审。具体详见下列具体评分标准：</w:t>
      </w:r>
    </w:p>
    <w:p w14:paraId="7BE23565">
      <w:pPr>
        <w:widowControl/>
        <w:ind w:firstLine="0" w:firstLineChars="0"/>
        <w:jc w:val="center"/>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bidi="ar"/>
        </w:rPr>
        <w:t>评标办法前附表：</w:t>
      </w:r>
    </w:p>
    <w:tbl>
      <w:tblPr>
        <w:tblStyle w:val="12"/>
        <w:tblW w:w="9230" w:type="dxa"/>
        <w:jc w:val="center"/>
        <w:tblLayout w:type="fixed"/>
        <w:tblCellMar>
          <w:top w:w="0" w:type="dxa"/>
          <w:left w:w="0" w:type="dxa"/>
          <w:bottom w:w="0" w:type="dxa"/>
          <w:right w:w="0" w:type="dxa"/>
        </w:tblCellMar>
      </w:tblPr>
      <w:tblGrid>
        <w:gridCol w:w="654"/>
        <w:gridCol w:w="995"/>
        <w:gridCol w:w="659"/>
        <w:gridCol w:w="542"/>
        <w:gridCol w:w="6380"/>
      </w:tblGrid>
      <w:tr w14:paraId="4A357009">
        <w:tblPrEx>
          <w:tblCellMar>
            <w:top w:w="0" w:type="dxa"/>
            <w:left w:w="0" w:type="dxa"/>
            <w:bottom w:w="0" w:type="dxa"/>
            <w:right w:w="0" w:type="dxa"/>
          </w:tblCellMar>
        </w:tblPrEx>
        <w:trPr>
          <w:trHeight w:val="685" w:hRule="atLeast"/>
          <w:jc w:val="center"/>
        </w:trPr>
        <w:tc>
          <w:tcPr>
            <w:tcW w:w="2850" w:type="dxa"/>
            <w:gridSpan w:val="4"/>
            <w:tcBorders>
              <w:top w:val="single" w:color="000000" w:sz="4" w:space="0"/>
              <w:left w:val="single" w:color="000000" w:sz="4" w:space="0"/>
              <w:bottom w:val="single" w:color="000000" w:sz="4" w:space="0"/>
              <w:right w:val="single" w:color="000000" w:sz="4" w:space="0"/>
            </w:tcBorders>
            <w:vAlign w:val="center"/>
          </w:tcPr>
          <w:p w14:paraId="4C18199D">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评审因素</w:t>
            </w:r>
          </w:p>
        </w:tc>
        <w:tc>
          <w:tcPr>
            <w:tcW w:w="6380" w:type="dxa"/>
            <w:tcBorders>
              <w:top w:val="single" w:color="000000" w:sz="4" w:space="0"/>
              <w:left w:val="single" w:color="000000" w:sz="4" w:space="0"/>
              <w:bottom w:val="single" w:color="000000" w:sz="4" w:space="0"/>
              <w:right w:val="single" w:color="000000" w:sz="4" w:space="0"/>
            </w:tcBorders>
            <w:vAlign w:val="center"/>
          </w:tcPr>
          <w:p w14:paraId="277129E2">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评审标准</w:t>
            </w:r>
          </w:p>
        </w:tc>
      </w:tr>
      <w:tr w14:paraId="3B46FC02">
        <w:tblPrEx>
          <w:tblCellMar>
            <w:top w:w="0" w:type="dxa"/>
            <w:left w:w="0" w:type="dxa"/>
            <w:bottom w:w="0" w:type="dxa"/>
            <w:right w:w="0" w:type="dxa"/>
          </w:tblCellMar>
        </w:tblPrEx>
        <w:trPr>
          <w:jc w:val="center"/>
        </w:trPr>
        <w:tc>
          <w:tcPr>
            <w:tcW w:w="654" w:type="dxa"/>
            <w:vMerge w:val="restart"/>
            <w:tcBorders>
              <w:top w:val="single" w:color="000000" w:sz="4" w:space="0"/>
              <w:left w:val="single" w:color="auto" w:sz="4" w:space="0"/>
              <w:right w:val="single" w:color="000000" w:sz="4" w:space="0"/>
            </w:tcBorders>
            <w:vAlign w:val="center"/>
          </w:tcPr>
          <w:p w14:paraId="4F45D233">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资格审查</w:t>
            </w: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626D07FB">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z w:val="24"/>
                <w:szCs w:val="24"/>
                <w:highlight w:val="none"/>
                <w:shd w:val="clear" w:color="auto" w:fill="FFFFFF"/>
              </w:rPr>
              <w:t>具有独立承担民事责任的能力</w:t>
            </w:r>
          </w:p>
        </w:tc>
        <w:tc>
          <w:tcPr>
            <w:tcW w:w="6380" w:type="dxa"/>
            <w:tcBorders>
              <w:top w:val="single" w:color="000000" w:sz="4" w:space="0"/>
              <w:left w:val="single" w:color="000000" w:sz="4" w:space="0"/>
              <w:bottom w:val="single" w:color="000000" w:sz="4" w:space="0"/>
              <w:right w:val="single" w:color="000000" w:sz="4" w:space="0"/>
            </w:tcBorders>
            <w:vAlign w:val="center"/>
          </w:tcPr>
          <w:p w14:paraId="3A1C6352">
            <w:pPr>
              <w:spacing w:line="440" w:lineRule="exact"/>
              <w:ind w:firstLine="240" w:firstLineChars="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提供法人或其他组织的营业执照（或事业单位法人证书）复印件加盖供应商公章</w:t>
            </w:r>
          </w:p>
          <w:p w14:paraId="375A4EEC">
            <w:pPr>
              <w:keepNext w:val="0"/>
              <w:keepLines w:val="0"/>
              <w:pageBreakBefore w:val="0"/>
              <w:widowControl w:val="0"/>
              <w:kinsoku/>
              <w:wordWrap/>
              <w:overflowPunct/>
              <w:topLinePunct w:val="0"/>
              <w:autoSpaceDE/>
              <w:autoSpaceDN/>
              <w:bidi w:val="0"/>
              <w:adjustRightInd w:val="0"/>
              <w:snapToGrid w:val="0"/>
              <w:spacing w:line="324" w:lineRule="auto"/>
              <w:ind w:right="48" w:rightChars="20"/>
              <w:jc w:val="left"/>
              <w:textAlignment w:val="auto"/>
              <w:outlineLvl w:val="9"/>
              <w:rPr>
                <w:rFonts w:hint="eastAsia" w:ascii="宋体" w:hAnsi="宋体" w:eastAsia="宋体" w:cs="宋体"/>
                <w:color w:val="auto"/>
                <w:spacing w:val="2"/>
                <w:position w:val="-3"/>
                <w:sz w:val="24"/>
                <w:szCs w:val="24"/>
                <w:highlight w:val="none"/>
              </w:rPr>
            </w:pPr>
          </w:p>
        </w:tc>
      </w:tr>
      <w:tr w14:paraId="57806941">
        <w:tblPrEx>
          <w:tblCellMar>
            <w:top w:w="0" w:type="dxa"/>
            <w:left w:w="0" w:type="dxa"/>
            <w:bottom w:w="0" w:type="dxa"/>
            <w:right w:w="0" w:type="dxa"/>
          </w:tblCellMar>
        </w:tblPrEx>
        <w:trPr>
          <w:trHeight w:val="1322" w:hRule="atLeast"/>
          <w:jc w:val="center"/>
        </w:trPr>
        <w:tc>
          <w:tcPr>
            <w:tcW w:w="654" w:type="dxa"/>
            <w:vMerge w:val="continue"/>
            <w:tcBorders>
              <w:left w:val="single" w:color="auto" w:sz="4" w:space="0"/>
              <w:right w:val="single" w:color="000000" w:sz="4" w:space="0"/>
            </w:tcBorders>
            <w:vAlign w:val="center"/>
          </w:tcPr>
          <w:p w14:paraId="7DB6EA15">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0602B05">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z w:val="24"/>
                <w:szCs w:val="24"/>
                <w:highlight w:val="none"/>
                <w:shd w:val="clear" w:color="auto" w:fill="FFFFFF"/>
              </w:rPr>
              <w:t>具有履行合同所必需的设备和专业技术能力</w:t>
            </w:r>
          </w:p>
        </w:tc>
        <w:tc>
          <w:tcPr>
            <w:tcW w:w="6380" w:type="dxa"/>
            <w:tcBorders>
              <w:top w:val="single" w:color="000000" w:sz="4" w:space="0"/>
              <w:left w:val="single" w:color="000000" w:sz="4" w:space="0"/>
              <w:bottom w:val="single" w:color="000000" w:sz="4" w:space="0"/>
              <w:right w:val="single" w:color="000000" w:sz="4" w:space="0"/>
            </w:tcBorders>
            <w:vAlign w:val="center"/>
          </w:tcPr>
          <w:p w14:paraId="020EB999">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left"/>
              <w:textAlignment w:val="auto"/>
              <w:outlineLvl w:val="9"/>
              <w:rPr>
                <w:rFonts w:hint="eastAsia" w:ascii="宋体" w:hAnsi="宋体" w:eastAsia="宋体" w:cs="宋体"/>
                <w:b/>
                <w:bCs/>
                <w:color w:val="auto"/>
                <w:sz w:val="24"/>
                <w:szCs w:val="24"/>
                <w:highlight w:val="none"/>
                <w:shd w:val="clear" w:color="auto" w:fill="FFFFFF"/>
              </w:rPr>
            </w:pPr>
            <w:r>
              <w:rPr>
                <w:rFonts w:hint="eastAsia" w:ascii="宋体" w:hAnsi="宋体" w:eastAsia="宋体" w:cs="宋体"/>
                <w:color w:val="auto"/>
                <w:sz w:val="24"/>
                <w:szCs w:val="24"/>
                <w:highlight w:val="none"/>
                <w:u w:val="none"/>
              </w:rPr>
              <w:t>需附</w:t>
            </w:r>
            <w:r>
              <w:rPr>
                <w:rFonts w:hint="eastAsia" w:ascii="宋体" w:hAnsi="宋体" w:eastAsia="宋体" w:cs="宋体"/>
                <w:color w:val="auto"/>
                <w:sz w:val="24"/>
                <w:szCs w:val="24"/>
                <w:highlight w:val="none"/>
                <w:u w:val="none"/>
                <w:lang w:eastAsia="zh-CN"/>
              </w:rPr>
              <w:t>响应</w:t>
            </w:r>
            <w:r>
              <w:rPr>
                <w:rFonts w:hint="eastAsia" w:ascii="宋体" w:hAnsi="宋体" w:eastAsia="宋体" w:cs="宋体"/>
                <w:color w:val="auto"/>
                <w:sz w:val="24"/>
                <w:szCs w:val="24"/>
                <w:highlight w:val="none"/>
                <w:u w:val="none"/>
              </w:rPr>
              <w:t>供应商履约能力承诺书，格式内容详见响应文件格式；</w:t>
            </w:r>
          </w:p>
        </w:tc>
      </w:tr>
      <w:tr w14:paraId="378592C9">
        <w:tblPrEx>
          <w:tblCellMar>
            <w:top w:w="0" w:type="dxa"/>
            <w:left w:w="0" w:type="dxa"/>
            <w:bottom w:w="0" w:type="dxa"/>
            <w:right w:w="0" w:type="dxa"/>
          </w:tblCellMar>
        </w:tblPrEx>
        <w:trPr>
          <w:trHeight w:val="3532" w:hRule="atLeast"/>
          <w:jc w:val="center"/>
        </w:trPr>
        <w:tc>
          <w:tcPr>
            <w:tcW w:w="654" w:type="dxa"/>
            <w:vMerge w:val="continue"/>
            <w:tcBorders>
              <w:left w:val="single" w:color="auto" w:sz="4" w:space="0"/>
              <w:right w:val="single" w:color="000000" w:sz="4" w:space="0"/>
            </w:tcBorders>
            <w:vAlign w:val="center"/>
          </w:tcPr>
          <w:p w14:paraId="181DC774">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AFF2D42">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kern w:val="2"/>
                <w:position w:val="-3"/>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法律、行政法规规定的其他条件</w:t>
            </w:r>
          </w:p>
        </w:tc>
        <w:tc>
          <w:tcPr>
            <w:tcW w:w="6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91419">
            <w:pPr>
              <w:spacing w:line="440" w:lineRule="exact"/>
              <w:ind w:firstLine="240" w:firstLineChars="100"/>
              <w:jc w:val="left"/>
              <w:rPr>
                <w:rFonts w:hint="eastAsia" w:ascii="宋体" w:hAnsi="宋体" w:eastAsia="宋体" w:cs="宋体"/>
                <w:color w:val="auto"/>
                <w:spacing w:val="2"/>
                <w:kern w:val="2"/>
                <w:position w:val="-3"/>
                <w:sz w:val="24"/>
                <w:szCs w:val="24"/>
                <w:highlight w:val="none"/>
                <w:u w:val="none"/>
                <w:lang w:val="en-US" w:eastAsia="zh-CN" w:bidi="ar-SA"/>
              </w:rPr>
            </w:pPr>
            <w:r>
              <w:rPr>
                <w:rFonts w:hint="eastAsia" w:ascii="宋体" w:hAnsi="宋体" w:eastAsia="宋体" w:cs="宋体"/>
                <w:color w:val="auto"/>
                <w:highlight w:val="none"/>
              </w:rPr>
              <w:t>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r>
              <w:rPr>
                <w:rFonts w:hint="eastAsia" w:ascii="宋体" w:hAnsi="宋体" w:eastAsia="宋体" w:cs="宋体"/>
                <w:color w:val="auto"/>
                <w:highlight w:val="none"/>
                <w:u w:val="none"/>
              </w:rPr>
              <w:t>提供网页截图并加盖</w:t>
            </w:r>
            <w:r>
              <w:rPr>
                <w:rFonts w:hint="eastAsia" w:ascii="宋体" w:hAnsi="宋体" w:eastAsia="宋体" w:cs="宋体"/>
                <w:color w:val="auto"/>
                <w:highlight w:val="none"/>
                <w:u w:val="none"/>
                <w:lang w:eastAsia="zh-CN"/>
              </w:rPr>
              <w:t>响应</w:t>
            </w:r>
            <w:r>
              <w:rPr>
                <w:rFonts w:hint="eastAsia" w:ascii="宋体" w:hAnsi="宋体" w:eastAsia="宋体" w:cs="宋体"/>
                <w:color w:val="auto"/>
                <w:highlight w:val="none"/>
                <w:u w:val="none"/>
              </w:rPr>
              <w:t>单位公章</w:t>
            </w:r>
            <w:r>
              <w:rPr>
                <w:rFonts w:hint="eastAsia" w:ascii="宋体" w:hAnsi="宋体" w:eastAsia="宋体" w:cs="宋体"/>
                <w:color w:val="auto"/>
                <w:highlight w:val="none"/>
                <w:u w:val="none"/>
                <w:lang w:eastAsia="zh-CN"/>
              </w:rPr>
              <w:t>，查询时间为本公告发布之日起至响应文件递交截止之日止</w:t>
            </w:r>
            <w:r>
              <w:rPr>
                <w:rFonts w:hint="eastAsia" w:ascii="宋体" w:hAnsi="宋体" w:eastAsia="宋体" w:cs="宋体"/>
                <w:color w:val="auto"/>
                <w:highlight w:val="none"/>
                <w:u w:val="none"/>
              </w:rPr>
              <w:t>）</w:t>
            </w:r>
            <w:r>
              <w:rPr>
                <w:rFonts w:hint="eastAsia" w:ascii="宋体" w:hAnsi="宋体" w:eastAsia="宋体" w:cs="宋体"/>
                <w:color w:val="auto"/>
                <w:sz w:val="24"/>
                <w:szCs w:val="24"/>
                <w:highlight w:val="none"/>
                <w:u w:val="none"/>
                <w:lang w:eastAsia="zh-CN"/>
              </w:rPr>
              <w:t>；</w:t>
            </w:r>
          </w:p>
        </w:tc>
      </w:tr>
      <w:tr w14:paraId="4AB46FE8">
        <w:tblPrEx>
          <w:tblCellMar>
            <w:top w:w="0" w:type="dxa"/>
            <w:left w:w="0" w:type="dxa"/>
            <w:bottom w:w="0" w:type="dxa"/>
            <w:right w:w="0" w:type="dxa"/>
          </w:tblCellMar>
        </w:tblPrEx>
        <w:trPr>
          <w:trHeight w:val="1461" w:hRule="atLeast"/>
          <w:jc w:val="center"/>
        </w:trPr>
        <w:tc>
          <w:tcPr>
            <w:tcW w:w="654" w:type="dxa"/>
            <w:vMerge w:val="continue"/>
            <w:tcBorders>
              <w:left w:val="single" w:color="auto" w:sz="4" w:space="0"/>
              <w:right w:val="single" w:color="000000" w:sz="4" w:space="0"/>
            </w:tcBorders>
            <w:vAlign w:val="center"/>
          </w:tcPr>
          <w:p w14:paraId="60BD972F">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CDD4034">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rPr>
              <w:t>有依法缴纳税收和社会保障资金的良好记录</w:t>
            </w:r>
          </w:p>
        </w:tc>
        <w:tc>
          <w:tcPr>
            <w:tcW w:w="6380" w:type="dxa"/>
            <w:tcBorders>
              <w:top w:val="single" w:color="auto" w:sz="4" w:space="0"/>
              <w:left w:val="single" w:color="000000" w:sz="4" w:space="0"/>
              <w:bottom w:val="single" w:color="auto" w:sz="4" w:space="0"/>
              <w:right w:val="single" w:color="auto" w:sz="4" w:space="0"/>
            </w:tcBorders>
            <w:shd w:val="clear" w:color="auto" w:fill="auto"/>
            <w:vAlign w:val="center"/>
          </w:tcPr>
          <w:p w14:paraId="3BAFEF15">
            <w:pPr>
              <w:spacing w:line="440" w:lineRule="exact"/>
              <w:ind w:firstLine="240" w:firstLineChars="100"/>
              <w:jc w:val="left"/>
              <w:rPr>
                <w:rFonts w:hint="eastAsia" w:ascii="宋体" w:hAnsi="宋体" w:eastAsia="宋体" w:cs="宋体"/>
                <w:color w:val="auto"/>
                <w:spacing w:val="2"/>
                <w:kern w:val="2"/>
                <w:position w:val="-3"/>
                <w:sz w:val="24"/>
                <w:szCs w:val="24"/>
                <w:highlight w:val="none"/>
                <w:u w:val="none"/>
                <w:lang w:val="en-US" w:eastAsia="zh-CN" w:bidi="ar-SA"/>
              </w:rPr>
            </w:pPr>
            <w:r>
              <w:rPr>
                <w:rFonts w:hint="eastAsia" w:ascii="宋体" w:hAnsi="宋体" w:eastAsia="宋体" w:cs="宋体"/>
                <w:color w:val="auto"/>
                <w:highlight w:val="none"/>
              </w:rPr>
              <w:t>提供2026年任意一个月的纳税证明和社保缴纳证明，或承诺书，加盖供应商单位公章</w:t>
            </w:r>
            <w:r>
              <w:rPr>
                <w:rFonts w:hint="eastAsia" w:ascii="宋体" w:hAnsi="宋体" w:eastAsia="宋体" w:cs="宋体"/>
                <w:color w:val="auto"/>
                <w:sz w:val="24"/>
                <w:szCs w:val="24"/>
                <w:highlight w:val="none"/>
                <w:u w:val="none"/>
                <w:lang w:val="en-US" w:eastAsia="zh-CN"/>
              </w:rPr>
              <w:t>；</w:t>
            </w:r>
          </w:p>
        </w:tc>
      </w:tr>
      <w:tr w14:paraId="01C0BE5E">
        <w:tblPrEx>
          <w:tblCellMar>
            <w:top w:w="0" w:type="dxa"/>
            <w:left w:w="0" w:type="dxa"/>
            <w:bottom w:w="0" w:type="dxa"/>
            <w:right w:w="0" w:type="dxa"/>
          </w:tblCellMar>
        </w:tblPrEx>
        <w:trPr>
          <w:trHeight w:val="1419" w:hRule="atLeast"/>
          <w:jc w:val="center"/>
        </w:trPr>
        <w:tc>
          <w:tcPr>
            <w:tcW w:w="654" w:type="dxa"/>
            <w:vMerge w:val="continue"/>
            <w:tcBorders>
              <w:left w:val="single" w:color="auto" w:sz="4" w:space="0"/>
              <w:right w:val="single" w:color="000000" w:sz="4" w:space="0"/>
            </w:tcBorders>
            <w:vAlign w:val="center"/>
          </w:tcPr>
          <w:p w14:paraId="59C66B8E">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714549CB">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highlight w:val="none"/>
              </w:rPr>
              <w:t>具有良好的商业信誉和健全的财务会计制度</w:t>
            </w:r>
          </w:p>
        </w:tc>
        <w:tc>
          <w:tcPr>
            <w:tcW w:w="6380" w:type="dxa"/>
            <w:tcBorders>
              <w:top w:val="single" w:color="auto" w:sz="4" w:space="0"/>
              <w:left w:val="single" w:color="000000" w:sz="4" w:space="0"/>
              <w:bottom w:val="single" w:color="000000" w:sz="4" w:space="0"/>
              <w:right w:val="single" w:color="000000" w:sz="4" w:space="0"/>
            </w:tcBorders>
            <w:vAlign w:val="center"/>
          </w:tcPr>
          <w:p w14:paraId="00A8CCC0">
            <w:pPr>
              <w:spacing w:line="440" w:lineRule="exact"/>
              <w:ind w:firstLine="240" w:firstLineChars="100"/>
              <w:jc w:val="left"/>
              <w:rPr>
                <w:rFonts w:hint="eastAsia" w:ascii="宋体" w:hAnsi="宋体" w:eastAsia="宋体" w:cs="宋体"/>
                <w:color w:val="auto"/>
                <w:spacing w:val="2"/>
                <w:position w:val="-3"/>
                <w:sz w:val="24"/>
                <w:szCs w:val="24"/>
                <w:highlight w:val="none"/>
                <w:u w:val="none"/>
                <w:lang w:val="en-US" w:eastAsia="zh-CN"/>
              </w:rPr>
            </w:pPr>
            <w:r>
              <w:rPr>
                <w:rFonts w:hint="eastAsia" w:ascii="宋体" w:hAnsi="宋体" w:eastAsia="宋体" w:cs="宋体"/>
                <w:color w:val="auto"/>
                <w:highlight w:val="none"/>
              </w:rPr>
              <w:t>提供2024年度或2025年度经第三方审计的财务报告或基本开户银行出具和社的资信证明，或承诺书，加盖供应商单位公章</w:t>
            </w:r>
            <w:r>
              <w:rPr>
                <w:rFonts w:hint="eastAsia" w:ascii="宋体" w:hAnsi="宋体" w:eastAsia="宋体" w:cs="宋体"/>
                <w:color w:val="auto"/>
                <w:highlight w:val="none"/>
                <w:lang w:eastAsia="zh-CN"/>
              </w:rPr>
              <w:t>；</w:t>
            </w:r>
          </w:p>
        </w:tc>
      </w:tr>
      <w:tr w14:paraId="32AE0E26">
        <w:tblPrEx>
          <w:tblCellMar>
            <w:top w:w="0" w:type="dxa"/>
            <w:left w:w="0" w:type="dxa"/>
            <w:bottom w:w="0" w:type="dxa"/>
            <w:right w:w="0" w:type="dxa"/>
          </w:tblCellMar>
        </w:tblPrEx>
        <w:trPr>
          <w:trHeight w:val="1419" w:hRule="atLeast"/>
          <w:jc w:val="center"/>
        </w:trPr>
        <w:tc>
          <w:tcPr>
            <w:tcW w:w="654" w:type="dxa"/>
            <w:vMerge w:val="continue"/>
            <w:tcBorders>
              <w:left w:val="single" w:color="auto" w:sz="4" w:space="0"/>
              <w:right w:val="single" w:color="000000" w:sz="4" w:space="0"/>
            </w:tcBorders>
            <w:vAlign w:val="center"/>
          </w:tcPr>
          <w:p w14:paraId="2993A610">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548EC075">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活动前三年内，在经营活动中没有违法违规记录</w:t>
            </w:r>
          </w:p>
        </w:tc>
        <w:tc>
          <w:tcPr>
            <w:tcW w:w="6380" w:type="dxa"/>
            <w:tcBorders>
              <w:top w:val="single" w:color="auto" w:sz="4" w:space="0"/>
              <w:left w:val="single" w:color="000000" w:sz="4" w:space="0"/>
              <w:bottom w:val="single" w:color="000000" w:sz="4" w:space="0"/>
              <w:right w:val="single" w:color="000000" w:sz="4" w:space="0"/>
            </w:tcBorders>
            <w:vAlign w:val="center"/>
          </w:tcPr>
          <w:p w14:paraId="558770B5">
            <w:pPr>
              <w:spacing w:line="440" w:lineRule="exact"/>
              <w:ind w:firstLine="240" w:firstLineChars="1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提供参加</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活动前3年内在经营活动中没有重大违法记录的书面声明</w:t>
            </w:r>
            <w:r>
              <w:rPr>
                <w:rFonts w:hint="eastAsia" w:ascii="宋体" w:hAnsi="宋体" w:eastAsia="宋体" w:cs="宋体"/>
                <w:color w:val="auto"/>
                <w:highlight w:val="none"/>
                <w:lang w:eastAsia="zh-CN"/>
              </w:rPr>
              <w:t>；</w:t>
            </w:r>
          </w:p>
        </w:tc>
      </w:tr>
      <w:tr w14:paraId="1562B22A">
        <w:tblPrEx>
          <w:tblCellMar>
            <w:top w:w="0" w:type="dxa"/>
            <w:left w:w="0" w:type="dxa"/>
            <w:bottom w:w="0" w:type="dxa"/>
            <w:right w:w="0" w:type="dxa"/>
          </w:tblCellMar>
        </w:tblPrEx>
        <w:trPr>
          <w:trHeight w:val="1172" w:hRule="atLeast"/>
          <w:jc w:val="center"/>
        </w:trPr>
        <w:tc>
          <w:tcPr>
            <w:tcW w:w="654" w:type="dxa"/>
            <w:vMerge w:val="continue"/>
            <w:tcBorders>
              <w:left w:val="single" w:color="auto" w:sz="4" w:space="0"/>
              <w:bottom w:val="single" w:color="000000" w:sz="4" w:space="0"/>
              <w:right w:val="single" w:color="000000" w:sz="4" w:space="0"/>
            </w:tcBorders>
            <w:vAlign w:val="center"/>
          </w:tcPr>
          <w:p w14:paraId="3D466D72">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45DA50B2">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特殊资格要求</w:t>
            </w:r>
          </w:p>
        </w:tc>
        <w:tc>
          <w:tcPr>
            <w:tcW w:w="6380" w:type="dxa"/>
            <w:tcBorders>
              <w:top w:val="single" w:color="auto" w:sz="4" w:space="0"/>
              <w:left w:val="single" w:color="000000" w:sz="4" w:space="0"/>
              <w:bottom w:val="single" w:color="000000" w:sz="4" w:space="0"/>
              <w:right w:val="single" w:color="000000" w:sz="4" w:space="0"/>
            </w:tcBorders>
            <w:vAlign w:val="center"/>
          </w:tcPr>
          <w:p w14:paraId="21C00E86">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both"/>
              <w:textAlignment w:val="auto"/>
              <w:rPr>
                <w:rFonts w:hint="default" w:ascii="宋体" w:hAnsi="宋体" w:eastAsia="宋体" w:cs="宋体"/>
                <w:color w:val="auto"/>
                <w:highlight w:val="none"/>
                <w:lang w:val="en-US" w:eastAsia="zh-CN"/>
              </w:rPr>
            </w:pPr>
            <w:r>
              <w:rPr>
                <w:rFonts w:hint="default" w:ascii="宋体" w:hAnsi="宋体" w:eastAsia="宋体" w:cs="宋体"/>
                <w:b/>
                <w:bCs/>
                <w:color w:val="auto"/>
                <w:highlight w:val="none"/>
                <w:lang w:val="en-US" w:eastAsia="zh-CN"/>
              </w:rPr>
              <w:t>分包单位资质要求：</w:t>
            </w:r>
            <w:r>
              <w:rPr>
                <w:rFonts w:hint="eastAsia" w:ascii="宋体" w:hAnsi="宋体" w:eastAsia="宋体" w:cs="宋体"/>
                <w:color w:val="auto"/>
                <w:highlight w:val="none"/>
                <w:lang w:val="en-US" w:eastAsia="zh-CN"/>
              </w:rPr>
              <w:t>具备有效的电子与智能化工程专业承包二级及以上资质证书、安全生产许可证；</w:t>
            </w:r>
          </w:p>
          <w:p w14:paraId="2EF77D3D">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both"/>
              <w:textAlignment w:val="auto"/>
              <w:rPr>
                <w:rFonts w:hint="default" w:ascii="宋体" w:hAnsi="宋体" w:eastAsia="宋体" w:cs="宋体"/>
                <w:color w:val="auto"/>
                <w:highlight w:val="none"/>
                <w:lang w:val="en-US" w:eastAsia="zh-CN"/>
              </w:rPr>
            </w:pPr>
            <w:r>
              <w:rPr>
                <w:rFonts w:hint="default" w:ascii="宋体" w:hAnsi="宋体" w:eastAsia="宋体" w:cs="宋体"/>
                <w:b/>
                <w:bCs/>
                <w:color w:val="auto"/>
                <w:highlight w:val="none"/>
                <w:lang w:val="en-US" w:eastAsia="zh-CN"/>
              </w:rPr>
              <w:t>人员要求：</w:t>
            </w:r>
            <w:r>
              <w:rPr>
                <w:rFonts w:hint="eastAsia" w:ascii="宋体" w:hAnsi="宋体" w:eastAsia="宋体" w:cs="宋体"/>
                <w:color w:val="auto"/>
                <w:highlight w:val="none"/>
                <w:lang w:val="en-US" w:eastAsia="zh-CN"/>
              </w:rPr>
              <w:t>共4人，其中现场负责人1名（具备机电工程专业二级注册建造师及建安B证）、现场施工员1名、安全员1名、材料负责人（材料员）1名，要求具有相关施工管理经验，安全员需具备建设行政主管部门颁发的安全生产考核合格证书（C类），且必须注册在分包单位，其他岗位人员需提供对应岗位证书或任职证明。成交供应商应根据《建筑施工企业、工程项目安全生产管理机构设置及安全生产管理人员配备办法》配足专职安全管理人员，参与采购的所有供应商须作出承诺</w:t>
            </w:r>
            <w:r>
              <w:rPr>
                <w:rFonts w:hint="default" w:ascii="宋体" w:hAnsi="宋体" w:eastAsia="宋体" w:cs="宋体"/>
                <w:color w:val="auto"/>
                <w:highlight w:val="none"/>
                <w:lang w:val="en-US" w:eastAsia="zh-CN"/>
              </w:rPr>
              <w:t>。其他岗位人员要求具有相关施工管理经验，并附对应的岗位证书或任职证明，并提交相应承诺函。</w:t>
            </w:r>
          </w:p>
          <w:p w14:paraId="45C5F081">
            <w:pPr>
              <w:spacing w:line="440" w:lineRule="exact"/>
              <w:ind w:firstLine="240" w:firstLineChars="100"/>
              <w:jc w:val="left"/>
              <w:rPr>
                <w:rFonts w:hint="eastAsia" w:ascii="宋体" w:hAnsi="宋体" w:eastAsia="宋体" w:cs="宋体"/>
                <w:color w:val="auto"/>
                <w:highlight w:val="none"/>
              </w:rPr>
            </w:pPr>
          </w:p>
        </w:tc>
      </w:tr>
      <w:tr w14:paraId="6A2DD271">
        <w:tblPrEx>
          <w:tblCellMar>
            <w:top w:w="0" w:type="dxa"/>
            <w:left w:w="0" w:type="dxa"/>
            <w:bottom w:w="0" w:type="dxa"/>
            <w:right w:w="0" w:type="dxa"/>
          </w:tblCellMar>
        </w:tblPrEx>
        <w:trPr>
          <w:jc w:val="center"/>
        </w:trPr>
        <w:tc>
          <w:tcPr>
            <w:tcW w:w="654" w:type="dxa"/>
            <w:vMerge w:val="restart"/>
            <w:tcBorders>
              <w:top w:val="single" w:color="000000" w:sz="4" w:space="0"/>
              <w:left w:val="single" w:color="000000" w:sz="4" w:space="0"/>
              <w:right w:val="single" w:color="000000" w:sz="4" w:space="0"/>
            </w:tcBorders>
            <w:vAlign w:val="center"/>
          </w:tcPr>
          <w:p w14:paraId="3FC41807">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符合性审查</w:t>
            </w: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4BD33B8">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响应</w:t>
            </w:r>
            <w:r>
              <w:rPr>
                <w:rFonts w:hint="eastAsia" w:ascii="宋体" w:hAnsi="宋体" w:eastAsia="宋体" w:cs="宋体"/>
                <w:color w:val="auto"/>
                <w:spacing w:val="2"/>
                <w:position w:val="-3"/>
                <w:sz w:val="24"/>
                <w:szCs w:val="24"/>
                <w:highlight w:val="none"/>
              </w:rPr>
              <w:t>函签字盖章</w:t>
            </w:r>
          </w:p>
        </w:tc>
        <w:tc>
          <w:tcPr>
            <w:tcW w:w="6380" w:type="dxa"/>
            <w:tcBorders>
              <w:top w:val="single" w:color="000000" w:sz="4" w:space="0"/>
              <w:left w:val="single" w:color="000000" w:sz="4" w:space="0"/>
              <w:bottom w:val="single" w:color="000000" w:sz="4" w:space="0"/>
              <w:right w:val="single" w:color="000000" w:sz="4" w:space="0"/>
            </w:tcBorders>
            <w:vAlign w:val="center"/>
          </w:tcPr>
          <w:p w14:paraId="334EB39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响应文件按格式要求盖章、签字（或盖章）；</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z w:val="24"/>
                <w:szCs w:val="24"/>
                <w:highlight w:val="none"/>
                <w:lang w:val="en-US" w:eastAsia="zh-CN"/>
              </w:rPr>
              <w:t>可以</w:t>
            </w:r>
            <w:r>
              <w:rPr>
                <w:rFonts w:hint="eastAsia" w:ascii="宋体" w:hAnsi="宋体" w:eastAsia="宋体" w:cs="宋体"/>
                <w:color w:val="auto"/>
                <w:sz w:val="24"/>
                <w:szCs w:val="24"/>
                <w:highlight w:val="none"/>
              </w:rPr>
              <w:t>在签字、盖章完成后扫描，并在投标工具指定位置上传扫描件。</w:t>
            </w:r>
            <w:r>
              <w:rPr>
                <w:rFonts w:hint="eastAsia" w:ascii="宋体" w:hAnsi="宋体" w:eastAsia="宋体" w:cs="宋体"/>
                <w:color w:val="auto"/>
                <w:sz w:val="24"/>
                <w:szCs w:val="24"/>
                <w:highlight w:val="none"/>
                <w:lang w:eastAsia="zh-CN"/>
              </w:rPr>
              <w:t>）</w:t>
            </w:r>
          </w:p>
        </w:tc>
      </w:tr>
      <w:tr w14:paraId="7ACCCFC4">
        <w:tblPrEx>
          <w:tblCellMar>
            <w:top w:w="0" w:type="dxa"/>
            <w:left w:w="0" w:type="dxa"/>
            <w:bottom w:w="0" w:type="dxa"/>
            <w:right w:w="0" w:type="dxa"/>
          </w:tblCellMar>
        </w:tblPrEx>
        <w:trPr>
          <w:trHeight w:val="576" w:hRule="atLeast"/>
          <w:jc w:val="center"/>
        </w:trPr>
        <w:tc>
          <w:tcPr>
            <w:tcW w:w="654" w:type="dxa"/>
            <w:vMerge w:val="continue"/>
            <w:tcBorders>
              <w:left w:val="single" w:color="000000" w:sz="4" w:space="0"/>
              <w:right w:val="single" w:color="000000" w:sz="4" w:space="0"/>
            </w:tcBorders>
            <w:vAlign w:val="center"/>
          </w:tcPr>
          <w:p w14:paraId="437D9378">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350260D8">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响应文件格式</w:t>
            </w:r>
          </w:p>
        </w:tc>
        <w:tc>
          <w:tcPr>
            <w:tcW w:w="6380" w:type="dxa"/>
            <w:tcBorders>
              <w:top w:val="single" w:color="000000" w:sz="4" w:space="0"/>
              <w:left w:val="single" w:color="000000" w:sz="4" w:space="0"/>
              <w:bottom w:val="single" w:color="000000" w:sz="4" w:space="0"/>
              <w:right w:val="single" w:color="000000" w:sz="4" w:space="0"/>
            </w:tcBorders>
            <w:vAlign w:val="center"/>
          </w:tcPr>
          <w:p w14:paraId="36EF44B7">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符合</w:t>
            </w:r>
            <w:r>
              <w:rPr>
                <w:rFonts w:hint="eastAsia" w:ascii="宋体" w:hAnsi="宋体" w:eastAsia="宋体" w:cs="宋体"/>
                <w:color w:val="auto"/>
                <w:spacing w:val="2"/>
                <w:position w:val="-3"/>
                <w:sz w:val="24"/>
                <w:szCs w:val="24"/>
                <w:highlight w:val="none"/>
                <w:lang w:eastAsia="zh-CN"/>
              </w:rPr>
              <w:t>第六</w:t>
            </w:r>
            <w:r>
              <w:rPr>
                <w:rFonts w:hint="eastAsia" w:ascii="宋体" w:hAnsi="宋体" w:eastAsia="宋体" w:cs="宋体"/>
                <w:color w:val="auto"/>
                <w:spacing w:val="2"/>
                <w:position w:val="-3"/>
                <w:sz w:val="24"/>
                <w:szCs w:val="24"/>
                <w:highlight w:val="none"/>
              </w:rPr>
              <w:t>章“响应文件格式”</w:t>
            </w:r>
            <w:r>
              <w:rPr>
                <w:rFonts w:hint="eastAsia" w:ascii="宋体" w:hAnsi="宋体" w:eastAsia="宋体" w:cs="宋体"/>
                <w:color w:val="auto"/>
                <w:spacing w:val="2"/>
                <w:position w:val="-3"/>
                <w:sz w:val="24"/>
                <w:szCs w:val="24"/>
                <w:highlight w:val="none"/>
                <w:lang w:val="en-US" w:eastAsia="zh-CN"/>
              </w:rPr>
              <w:t>等</w:t>
            </w:r>
            <w:r>
              <w:rPr>
                <w:rFonts w:hint="eastAsia" w:ascii="宋体" w:hAnsi="宋体" w:eastAsia="宋体" w:cs="宋体"/>
                <w:color w:val="auto"/>
                <w:spacing w:val="2"/>
                <w:position w:val="-3"/>
                <w:sz w:val="24"/>
                <w:szCs w:val="24"/>
                <w:highlight w:val="none"/>
              </w:rPr>
              <w:t>要求</w:t>
            </w:r>
          </w:p>
        </w:tc>
      </w:tr>
      <w:tr w14:paraId="27A04EB6">
        <w:tblPrEx>
          <w:tblCellMar>
            <w:top w:w="0" w:type="dxa"/>
            <w:left w:w="0" w:type="dxa"/>
            <w:bottom w:w="0" w:type="dxa"/>
            <w:right w:w="0" w:type="dxa"/>
          </w:tblCellMar>
        </w:tblPrEx>
        <w:trPr>
          <w:trHeight w:val="592" w:hRule="atLeast"/>
          <w:jc w:val="center"/>
        </w:trPr>
        <w:tc>
          <w:tcPr>
            <w:tcW w:w="654" w:type="dxa"/>
            <w:vMerge w:val="continue"/>
            <w:tcBorders>
              <w:left w:val="single" w:color="000000" w:sz="4" w:space="0"/>
              <w:right w:val="single" w:color="000000" w:sz="4" w:space="0"/>
            </w:tcBorders>
            <w:vAlign w:val="center"/>
          </w:tcPr>
          <w:p w14:paraId="77F52FFC">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5C1537AA">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响应</w:t>
            </w:r>
            <w:r>
              <w:rPr>
                <w:rFonts w:hint="eastAsia" w:ascii="宋体" w:hAnsi="宋体" w:eastAsia="宋体" w:cs="宋体"/>
                <w:color w:val="auto"/>
                <w:spacing w:val="2"/>
                <w:position w:val="-3"/>
                <w:sz w:val="24"/>
                <w:szCs w:val="24"/>
                <w:highlight w:val="none"/>
              </w:rPr>
              <w:t>报价</w:t>
            </w:r>
          </w:p>
        </w:tc>
        <w:tc>
          <w:tcPr>
            <w:tcW w:w="6380" w:type="dxa"/>
            <w:tcBorders>
              <w:top w:val="single" w:color="000000" w:sz="4" w:space="0"/>
              <w:left w:val="single" w:color="000000" w:sz="4" w:space="0"/>
              <w:bottom w:val="single" w:color="000000" w:sz="4" w:space="0"/>
              <w:right w:val="single" w:color="000000" w:sz="4" w:space="0"/>
            </w:tcBorders>
            <w:vAlign w:val="center"/>
          </w:tcPr>
          <w:p w14:paraId="68398D6D">
            <w:pPr>
              <w:adjustRightInd w:val="0"/>
              <w:snapToGrid w:val="0"/>
              <w:spacing w:line="300" w:lineRule="auto"/>
              <w:ind w:left="120" w:leftChars="50" w:firstLine="0" w:firstLineChars="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rPr>
              <w:t>只能有一个有效报价</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lang w:val="en-US" w:eastAsia="zh-CN"/>
              </w:rPr>
              <w:t>不超过最高限价）</w:t>
            </w:r>
          </w:p>
        </w:tc>
      </w:tr>
      <w:tr w14:paraId="3E07F2CB">
        <w:tblPrEx>
          <w:tblCellMar>
            <w:top w:w="0" w:type="dxa"/>
            <w:left w:w="0" w:type="dxa"/>
            <w:bottom w:w="0" w:type="dxa"/>
            <w:right w:w="0" w:type="dxa"/>
          </w:tblCellMar>
        </w:tblPrEx>
        <w:trPr>
          <w:trHeight w:val="452" w:hRule="atLeast"/>
          <w:jc w:val="center"/>
        </w:trPr>
        <w:tc>
          <w:tcPr>
            <w:tcW w:w="654" w:type="dxa"/>
            <w:vMerge w:val="continue"/>
            <w:tcBorders>
              <w:left w:val="single" w:color="000000" w:sz="4" w:space="0"/>
              <w:right w:val="single" w:color="000000" w:sz="4" w:space="0"/>
            </w:tcBorders>
            <w:vAlign w:val="center"/>
          </w:tcPr>
          <w:p w14:paraId="0881A7C5">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1C1A2DBF">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val="en-US" w:eastAsia="zh-CN"/>
              </w:rPr>
              <w:t>工期</w:t>
            </w:r>
          </w:p>
        </w:tc>
        <w:tc>
          <w:tcPr>
            <w:tcW w:w="6380" w:type="dxa"/>
            <w:tcBorders>
              <w:top w:val="single" w:color="000000" w:sz="4" w:space="0"/>
              <w:left w:val="single" w:color="000000" w:sz="4" w:space="0"/>
              <w:bottom w:val="single" w:color="000000" w:sz="4" w:space="0"/>
              <w:right w:val="single" w:color="000000" w:sz="4" w:space="0"/>
            </w:tcBorders>
            <w:vAlign w:val="center"/>
          </w:tcPr>
          <w:p w14:paraId="4452198F">
            <w:pPr>
              <w:ind w:left="0" w:leftChars="0" w:firstLine="240" w:firstLineChars="10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highlight w:val="none"/>
                <w:lang w:val="en-US" w:eastAsia="zh-CN"/>
              </w:rPr>
              <w:t>180日历天。</w:t>
            </w:r>
          </w:p>
        </w:tc>
      </w:tr>
      <w:tr w14:paraId="5A56B60B">
        <w:tblPrEx>
          <w:tblCellMar>
            <w:top w:w="0" w:type="dxa"/>
            <w:left w:w="0" w:type="dxa"/>
            <w:bottom w:w="0" w:type="dxa"/>
            <w:right w:w="0" w:type="dxa"/>
          </w:tblCellMar>
        </w:tblPrEx>
        <w:trPr>
          <w:trHeight w:val="442" w:hRule="atLeast"/>
          <w:jc w:val="center"/>
        </w:trPr>
        <w:tc>
          <w:tcPr>
            <w:tcW w:w="654" w:type="dxa"/>
            <w:vMerge w:val="continue"/>
            <w:tcBorders>
              <w:left w:val="single" w:color="000000" w:sz="4" w:space="0"/>
              <w:right w:val="single" w:color="000000" w:sz="4" w:space="0"/>
            </w:tcBorders>
            <w:vAlign w:val="center"/>
          </w:tcPr>
          <w:p w14:paraId="6C1EB7D6">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5259AD0A">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rPr>
              <w:t>服务</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lang w:val="en-US" w:eastAsia="zh-CN"/>
              </w:rPr>
              <w:t>质量</w:t>
            </w:r>
            <w:r>
              <w:rPr>
                <w:rFonts w:hint="eastAsia" w:ascii="宋体" w:hAnsi="宋体" w:eastAsia="宋体" w:cs="宋体"/>
                <w:color w:val="auto"/>
                <w:spacing w:val="2"/>
                <w:position w:val="-3"/>
                <w:sz w:val="24"/>
                <w:szCs w:val="24"/>
                <w:highlight w:val="none"/>
              </w:rPr>
              <w:t>要求</w:t>
            </w:r>
          </w:p>
        </w:tc>
        <w:tc>
          <w:tcPr>
            <w:tcW w:w="6380" w:type="dxa"/>
            <w:tcBorders>
              <w:top w:val="single" w:color="000000" w:sz="4" w:space="0"/>
              <w:left w:val="single" w:color="000000" w:sz="4" w:space="0"/>
              <w:bottom w:val="single" w:color="000000" w:sz="4" w:space="0"/>
              <w:right w:val="single" w:color="000000" w:sz="4" w:space="0"/>
            </w:tcBorders>
            <w:vAlign w:val="center"/>
          </w:tcPr>
          <w:p w14:paraId="71E992F0">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highlight w:val="none"/>
                <w:lang w:val="en-US" w:eastAsia="zh-CN"/>
              </w:rPr>
              <w:t>符合国家、地方及行业现行有关施工质量验收规范标准，符合发包人要求，一次性验收合格</w:t>
            </w:r>
          </w:p>
        </w:tc>
      </w:tr>
      <w:tr w14:paraId="01FAEB12">
        <w:tblPrEx>
          <w:tblCellMar>
            <w:top w:w="0" w:type="dxa"/>
            <w:left w:w="0" w:type="dxa"/>
            <w:bottom w:w="0" w:type="dxa"/>
            <w:right w:w="0" w:type="dxa"/>
          </w:tblCellMar>
        </w:tblPrEx>
        <w:trPr>
          <w:trHeight w:val="485" w:hRule="atLeast"/>
          <w:jc w:val="center"/>
        </w:trPr>
        <w:tc>
          <w:tcPr>
            <w:tcW w:w="654" w:type="dxa"/>
            <w:vMerge w:val="continue"/>
            <w:tcBorders>
              <w:left w:val="single" w:color="000000" w:sz="4" w:space="0"/>
              <w:right w:val="single" w:color="000000" w:sz="4" w:space="0"/>
            </w:tcBorders>
            <w:vAlign w:val="center"/>
          </w:tcPr>
          <w:p w14:paraId="059A8ECD">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34D3279C">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投标有效期</w:t>
            </w:r>
          </w:p>
        </w:tc>
        <w:tc>
          <w:tcPr>
            <w:tcW w:w="6380" w:type="dxa"/>
            <w:tcBorders>
              <w:top w:val="single" w:color="000000" w:sz="4" w:space="0"/>
              <w:left w:val="single" w:color="000000" w:sz="4" w:space="0"/>
              <w:bottom w:val="single" w:color="000000" w:sz="4" w:space="0"/>
              <w:right w:val="single" w:color="000000" w:sz="4" w:space="0"/>
            </w:tcBorders>
            <w:vAlign w:val="center"/>
          </w:tcPr>
          <w:p w14:paraId="4D62F962">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val="en-US" w:eastAsia="zh-CN"/>
              </w:rPr>
              <w:t>90天</w:t>
            </w:r>
            <w:r>
              <w:rPr>
                <w:rFonts w:hint="eastAsia" w:ascii="宋体" w:hAnsi="宋体" w:eastAsia="宋体" w:cs="宋体"/>
                <w:color w:val="auto"/>
                <w:spacing w:val="2"/>
                <w:position w:val="-3"/>
                <w:sz w:val="24"/>
                <w:szCs w:val="24"/>
                <w:highlight w:val="none"/>
              </w:rPr>
              <w:t>（投标截止之日起开始计算）</w:t>
            </w:r>
          </w:p>
        </w:tc>
      </w:tr>
      <w:tr w14:paraId="69E10360">
        <w:tblPrEx>
          <w:tblCellMar>
            <w:top w:w="0" w:type="dxa"/>
            <w:left w:w="0" w:type="dxa"/>
            <w:bottom w:w="0" w:type="dxa"/>
            <w:right w:w="0" w:type="dxa"/>
          </w:tblCellMar>
        </w:tblPrEx>
        <w:trPr>
          <w:trHeight w:val="485" w:hRule="atLeast"/>
          <w:jc w:val="center"/>
        </w:trPr>
        <w:tc>
          <w:tcPr>
            <w:tcW w:w="654" w:type="dxa"/>
            <w:tcBorders>
              <w:left w:val="single" w:color="000000" w:sz="4" w:space="0"/>
              <w:right w:val="single" w:color="000000" w:sz="4" w:space="0"/>
            </w:tcBorders>
            <w:vAlign w:val="center"/>
          </w:tcPr>
          <w:p w14:paraId="5208AAF8">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D2FF565">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lang w:val="en-US" w:eastAsia="zh-CN"/>
              </w:rPr>
              <w:t>安全目标</w:t>
            </w:r>
          </w:p>
        </w:tc>
        <w:tc>
          <w:tcPr>
            <w:tcW w:w="6380" w:type="dxa"/>
            <w:tcBorders>
              <w:top w:val="single" w:color="000000" w:sz="4" w:space="0"/>
              <w:left w:val="single" w:color="000000" w:sz="4" w:space="0"/>
              <w:bottom w:val="single" w:color="000000" w:sz="4" w:space="0"/>
              <w:right w:val="single" w:color="000000" w:sz="4" w:space="0"/>
            </w:tcBorders>
            <w:vAlign w:val="center"/>
          </w:tcPr>
          <w:p w14:paraId="47050712">
            <w:pPr>
              <w:adjustRightInd w:val="0"/>
              <w:snapToGrid w:val="0"/>
              <w:spacing w:line="300" w:lineRule="auto"/>
              <w:ind w:left="120" w:leftChars="50" w:firstLine="0" w:firstLineChars="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lang w:val="en-US" w:eastAsia="zh-CN"/>
              </w:rPr>
              <w:t>杜绝较大以上事故、遏制一般事故、重伤率不超过0.5‰、轻伤率不超过2‰。</w:t>
            </w:r>
          </w:p>
        </w:tc>
      </w:tr>
      <w:tr w14:paraId="3430ABBE">
        <w:tblPrEx>
          <w:tblCellMar>
            <w:top w:w="0" w:type="dxa"/>
            <w:left w:w="0" w:type="dxa"/>
            <w:bottom w:w="0" w:type="dxa"/>
            <w:right w:w="0" w:type="dxa"/>
          </w:tblCellMar>
        </w:tblPrEx>
        <w:trPr>
          <w:jc w:val="center"/>
        </w:trPr>
        <w:tc>
          <w:tcPr>
            <w:tcW w:w="1649" w:type="dxa"/>
            <w:gridSpan w:val="2"/>
            <w:tcBorders>
              <w:top w:val="single" w:color="000000" w:sz="4" w:space="0"/>
              <w:left w:val="single" w:color="000000" w:sz="4" w:space="0"/>
              <w:bottom w:val="single" w:color="000000" w:sz="4" w:space="0"/>
              <w:right w:val="single" w:color="000000" w:sz="4" w:space="0"/>
            </w:tcBorders>
            <w:vAlign w:val="center"/>
          </w:tcPr>
          <w:p w14:paraId="19666CC7">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评标基准价</w:t>
            </w:r>
          </w:p>
        </w:tc>
        <w:tc>
          <w:tcPr>
            <w:tcW w:w="7581" w:type="dxa"/>
            <w:gridSpan w:val="3"/>
            <w:tcBorders>
              <w:top w:val="single" w:color="000000" w:sz="4" w:space="0"/>
              <w:left w:val="single" w:color="000000" w:sz="4" w:space="0"/>
              <w:bottom w:val="single" w:color="000000" w:sz="4" w:space="0"/>
              <w:right w:val="single" w:color="000000" w:sz="4" w:space="0"/>
            </w:tcBorders>
            <w:vAlign w:val="center"/>
          </w:tcPr>
          <w:p w14:paraId="41820EBC">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pacing w:val="2"/>
                <w:position w:val="-3"/>
                <w:sz w:val="24"/>
                <w:szCs w:val="24"/>
                <w:highlight w:val="none"/>
                <w:lang w:eastAsia="zh-CN"/>
              </w:rPr>
              <w:t>评审基准价的计算：</w:t>
            </w:r>
          </w:p>
          <w:p w14:paraId="4B4CC8FD">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通过初步评审的供应商(有效最终)报价的算术平均值即为评审基准价。</w:t>
            </w:r>
          </w:p>
          <w:p w14:paraId="44362DA7">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当通过初步评审的供应商数量大于等于5家时：</w:t>
            </w:r>
          </w:p>
          <w:p w14:paraId="4ECB6A42">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去掉一个最高最终报价和一个最低最终报价,剩余通过初步评审的供应商(有效最终)报价的算术平均值即为评审基准价。</w:t>
            </w:r>
          </w:p>
          <w:p w14:paraId="143649E1">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当通过初步评审的供应商数量大于等于9家时：</w:t>
            </w:r>
          </w:p>
          <w:p w14:paraId="0C07B81A">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去掉2个最高最终报价和2个最低最终报价，剩余通过初步评审的供应商(有效最终)报价的算术平均值即为评审基准价。</w:t>
            </w:r>
          </w:p>
          <w:p w14:paraId="46848899">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当通过初步评审的供应商数量大于等于12家时：</w:t>
            </w:r>
          </w:p>
          <w:p w14:paraId="7FD9CEA0">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去掉3个最高最终报价和3个最低最终报价，剩余通过初步评审的供应商(有效最终)报价的算术平均值即为评审基准价。</w:t>
            </w:r>
          </w:p>
          <w:p w14:paraId="122EB5CD">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评审价=响应函大写报价</w:t>
            </w:r>
          </w:p>
          <w:p w14:paraId="532C52AD">
            <w:pPr>
              <w:adjustRightInd w:val="0"/>
              <w:snapToGrid w:val="0"/>
              <w:spacing w:line="300" w:lineRule="auto"/>
              <w:ind w:left="120" w:leftChars="50" w:firstLine="0" w:firstLineChars="0"/>
              <w:rPr>
                <w:rFonts w:hint="eastAsia"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偏差率=100% ×(供应商报价−评审基准价)/评审基准价</w:t>
            </w:r>
          </w:p>
          <w:p w14:paraId="2066D17E">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pacing w:val="2"/>
                <w:position w:val="-3"/>
                <w:highlight w:val="none"/>
              </w:rPr>
              <w:t>偏差率保留两位小数。</w:t>
            </w:r>
            <w:r>
              <w:rPr>
                <w:rFonts w:hint="eastAsia" w:ascii="宋体" w:hAnsi="宋体" w:eastAsia="宋体" w:cs="宋体"/>
                <w:color w:val="auto"/>
                <w:spacing w:val="2"/>
                <w:position w:val="-3"/>
                <w:sz w:val="24"/>
                <w:szCs w:val="24"/>
                <w:highlight w:val="none"/>
                <w:lang w:eastAsia="zh-CN"/>
              </w:rPr>
              <w:t>评审价=响应函大写报价</w:t>
            </w:r>
          </w:p>
          <w:p w14:paraId="0D5F4E30">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p>
        </w:tc>
      </w:tr>
      <w:tr w14:paraId="4CD9B77F">
        <w:tblPrEx>
          <w:tblCellMar>
            <w:top w:w="0" w:type="dxa"/>
            <w:left w:w="0" w:type="dxa"/>
            <w:bottom w:w="0" w:type="dxa"/>
            <w:right w:w="0" w:type="dxa"/>
          </w:tblCellMar>
        </w:tblPrEx>
        <w:trPr>
          <w:trHeight w:val="392"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075C94E2">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vAlign w:val="center"/>
          </w:tcPr>
          <w:p w14:paraId="71B27823">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评审项目</w:t>
            </w:r>
          </w:p>
        </w:tc>
        <w:tc>
          <w:tcPr>
            <w:tcW w:w="659" w:type="dxa"/>
            <w:tcBorders>
              <w:top w:val="single" w:color="000000" w:sz="4" w:space="0"/>
              <w:left w:val="single" w:color="000000" w:sz="4" w:space="0"/>
              <w:bottom w:val="single" w:color="000000" w:sz="4" w:space="0"/>
              <w:right w:val="single" w:color="000000" w:sz="4" w:space="0"/>
            </w:tcBorders>
            <w:vAlign w:val="center"/>
          </w:tcPr>
          <w:p w14:paraId="315734B0">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分值</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693D955F">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kern w:val="0"/>
                <w:sz w:val="24"/>
                <w:szCs w:val="24"/>
                <w:highlight w:val="none"/>
              </w:rPr>
              <w:t>评分内容及打分办法</w:t>
            </w:r>
          </w:p>
        </w:tc>
      </w:tr>
      <w:tr w14:paraId="57C84D15">
        <w:tblPrEx>
          <w:tblCellMar>
            <w:top w:w="0" w:type="dxa"/>
            <w:left w:w="0" w:type="dxa"/>
            <w:bottom w:w="0" w:type="dxa"/>
            <w:right w:w="0" w:type="dxa"/>
          </w:tblCellMar>
        </w:tblPrEx>
        <w:trPr>
          <w:trHeight w:val="392"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026">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lang w:eastAsia="zh-CN"/>
              </w:rPr>
            </w:pPr>
            <w:r>
              <w:rPr>
                <w:rFonts w:hint="eastAsia" w:ascii="宋体" w:hAnsi="宋体" w:eastAsia="宋体" w:cs="宋体"/>
                <w:color w:val="auto"/>
                <w:position w:val="-4"/>
                <w:sz w:val="24"/>
                <w:szCs w:val="24"/>
                <w:highlight w:val="none"/>
              </w:rPr>
              <w:t>报价得分</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lang w:val="en-US" w:eastAsia="zh-CN"/>
              </w:rPr>
              <w:t>75分</w:t>
            </w:r>
            <w:r>
              <w:rPr>
                <w:rFonts w:hint="eastAsia" w:ascii="宋体" w:hAnsi="宋体" w:eastAsia="宋体" w:cs="宋体"/>
                <w:color w:val="auto"/>
                <w:position w:val="-4"/>
                <w:sz w:val="24"/>
                <w:szCs w:val="24"/>
                <w:highlight w:val="none"/>
                <w:lang w:eastAsia="zh-CN"/>
              </w:rPr>
              <w:t>）</w:t>
            </w:r>
          </w:p>
          <w:p w14:paraId="76D0445B">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678B">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报价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EDF">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rPr>
              <w:t>分</w:t>
            </w:r>
          </w:p>
        </w:tc>
        <w:tc>
          <w:tcPr>
            <w:tcW w:w="6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2B8B">
            <w:pPr>
              <w:adjustRightInd w:val="0"/>
              <w:snapToGrid w:val="0"/>
              <w:spacing w:line="300" w:lineRule="auto"/>
              <w:ind w:firstLine="0" w:firstLineChars="0"/>
              <w:rPr>
                <w:rFonts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lang w:eastAsia="zh-CN"/>
              </w:rPr>
              <w:t>响应</w:t>
            </w:r>
            <w:r>
              <w:rPr>
                <w:rFonts w:hint="eastAsia" w:ascii="宋体" w:hAnsi="宋体" w:eastAsia="宋体" w:cs="宋体"/>
                <w:color w:val="auto"/>
                <w:spacing w:val="2"/>
                <w:position w:val="-3"/>
                <w:highlight w:val="none"/>
              </w:rPr>
              <w:t>报价得分计算公式：</w:t>
            </w:r>
          </w:p>
          <w:p w14:paraId="3A75C406">
            <w:pPr>
              <w:adjustRightInd w:val="0"/>
              <w:snapToGrid w:val="0"/>
              <w:spacing w:line="300" w:lineRule="auto"/>
              <w:ind w:left="120" w:leftChars="50" w:firstLine="0" w:firstLineChars="0"/>
              <w:rPr>
                <w:rFonts w:ascii="宋体" w:hAnsi="宋体" w:eastAsia="宋体" w:cs="宋体"/>
                <w:color w:val="auto"/>
                <w:spacing w:val="2"/>
                <w:position w:val="-3"/>
                <w:highlight w:val="none"/>
              </w:rPr>
            </w:pPr>
            <w:r>
              <w:rPr>
                <w:rFonts w:hint="eastAsia" w:ascii="宋体" w:hAnsi="宋体" w:eastAsia="宋体" w:cs="宋体"/>
                <w:color w:val="auto"/>
                <w:spacing w:val="2"/>
                <w:position w:val="-3"/>
                <w:highlight w:val="none"/>
              </w:rPr>
              <w:t>（1）如果供应商的</w:t>
            </w:r>
            <w:r>
              <w:rPr>
                <w:rFonts w:hint="eastAsia" w:ascii="宋体" w:hAnsi="宋体" w:eastAsia="宋体" w:cs="宋体"/>
                <w:color w:val="auto"/>
                <w:spacing w:val="2"/>
                <w:position w:val="-3"/>
                <w:highlight w:val="none"/>
                <w:lang w:eastAsia="zh-CN"/>
              </w:rPr>
              <w:t>响应</w:t>
            </w:r>
            <w:r>
              <w:rPr>
                <w:rFonts w:hint="eastAsia" w:ascii="宋体" w:hAnsi="宋体" w:eastAsia="宋体" w:cs="宋体"/>
                <w:color w:val="auto"/>
                <w:spacing w:val="2"/>
                <w:position w:val="-3"/>
                <w:highlight w:val="none"/>
              </w:rPr>
              <w:t>报价＞评审基准价，则</w:t>
            </w:r>
            <w:r>
              <w:rPr>
                <w:rFonts w:hint="eastAsia" w:ascii="宋体" w:hAnsi="宋体" w:eastAsia="宋体" w:cs="宋体"/>
                <w:color w:val="auto"/>
                <w:spacing w:val="2"/>
                <w:position w:val="-3"/>
                <w:highlight w:val="none"/>
                <w:lang w:eastAsia="zh-CN"/>
              </w:rPr>
              <w:t>响应</w:t>
            </w:r>
            <w:r>
              <w:rPr>
                <w:rFonts w:hint="eastAsia" w:ascii="宋体" w:hAnsi="宋体" w:eastAsia="宋体" w:cs="宋体"/>
                <w:color w:val="auto"/>
                <w:spacing w:val="2"/>
                <w:position w:val="-3"/>
                <w:highlight w:val="none"/>
              </w:rPr>
              <w:t>报价得分=设定分值－偏差率×100×</w:t>
            </w:r>
            <w:r>
              <w:rPr>
                <w:rFonts w:hint="eastAsia" w:ascii="宋体" w:hAnsi="宋体" w:eastAsia="宋体" w:cs="宋体"/>
                <w:color w:val="auto"/>
                <w:spacing w:val="2"/>
                <w:position w:val="-3"/>
                <w:highlight w:val="none"/>
                <w:lang w:val="en-US" w:eastAsia="zh-CN"/>
              </w:rPr>
              <w:t>0.8</w:t>
            </w:r>
            <w:r>
              <w:rPr>
                <w:rFonts w:hint="eastAsia" w:ascii="宋体" w:hAnsi="宋体" w:eastAsia="宋体" w:cs="宋体"/>
                <w:color w:val="auto"/>
                <w:spacing w:val="2"/>
                <w:position w:val="-3"/>
                <w:highlight w:val="none"/>
              </w:rPr>
              <w:t>；</w:t>
            </w:r>
          </w:p>
          <w:p w14:paraId="56D19375">
            <w:pPr>
              <w:pStyle w:val="17"/>
              <w:spacing w:line="440" w:lineRule="exact"/>
              <w:ind w:left="120" w:leftChars="50" w:right="120" w:rightChars="50" w:firstLine="0" w:firstLineChars="0"/>
              <w:jc w:val="both"/>
              <w:rPr>
                <w:rFonts w:ascii="宋体" w:hAnsi="宋体" w:eastAsia="宋体" w:cs="宋体"/>
                <w:color w:val="auto"/>
                <w:spacing w:val="2"/>
                <w:position w:val="-3"/>
                <w:highlight w:val="none"/>
                <w:lang w:eastAsia="zh-CN"/>
              </w:rPr>
            </w:pPr>
            <w:r>
              <w:rPr>
                <w:rFonts w:hint="eastAsia" w:ascii="宋体" w:hAnsi="宋体" w:eastAsia="宋体" w:cs="宋体"/>
                <w:color w:val="auto"/>
                <w:spacing w:val="2"/>
                <w:position w:val="-3"/>
                <w:highlight w:val="none"/>
                <w:lang w:eastAsia="zh-CN"/>
              </w:rPr>
              <w:t>（2）如果供应商的响应报价≤评审基准价，则响应报价得分=设定分值+偏差率×100×0.</w:t>
            </w:r>
            <w:r>
              <w:rPr>
                <w:rFonts w:hint="eastAsia" w:ascii="宋体" w:hAnsi="宋体" w:eastAsia="宋体" w:cs="宋体"/>
                <w:color w:val="auto"/>
                <w:spacing w:val="2"/>
                <w:position w:val="-3"/>
                <w:highlight w:val="none"/>
                <w:lang w:val="en-US" w:eastAsia="zh-CN"/>
              </w:rPr>
              <w:t>5</w:t>
            </w:r>
            <w:r>
              <w:rPr>
                <w:rFonts w:hint="eastAsia" w:ascii="宋体" w:hAnsi="宋体" w:eastAsia="宋体" w:cs="宋体"/>
                <w:color w:val="auto"/>
                <w:spacing w:val="2"/>
                <w:position w:val="-3"/>
                <w:highlight w:val="none"/>
                <w:lang w:eastAsia="zh-CN"/>
              </w:rPr>
              <w:t>。</w:t>
            </w:r>
          </w:p>
          <w:p w14:paraId="06F4E821">
            <w:pPr>
              <w:adjustRightInd w:val="0"/>
              <w:snapToGrid w:val="0"/>
              <w:spacing w:line="300" w:lineRule="auto"/>
              <w:ind w:left="120" w:leftChars="50" w:firstLine="480" w:firstLineChars="200"/>
              <w:rPr>
                <w:rFonts w:hint="eastAsia" w:ascii="宋体" w:hAnsi="宋体" w:eastAsia="宋体" w:cs="宋体"/>
                <w:color w:val="auto"/>
                <w:kern w:val="0"/>
                <w:sz w:val="24"/>
                <w:szCs w:val="24"/>
                <w:highlight w:val="none"/>
                <w:lang w:val="en-US" w:eastAsia="zh-CN" w:bidi="ar"/>
              </w:rPr>
            </w:pPr>
          </w:p>
        </w:tc>
      </w:tr>
      <w:tr w14:paraId="6AA02078">
        <w:tblPrEx>
          <w:tblCellMar>
            <w:top w:w="0" w:type="dxa"/>
            <w:left w:w="0" w:type="dxa"/>
            <w:bottom w:w="0" w:type="dxa"/>
            <w:right w:w="0" w:type="dxa"/>
          </w:tblCellMar>
        </w:tblPrEx>
        <w:trPr>
          <w:trHeight w:val="2682" w:hRule="atLeast"/>
          <w:jc w:val="center"/>
        </w:trPr>
        <w:tc>
          <w:tcPr>
            <w:tcW w:w="654" w:type="dxa"/>
            <w:vMerge w:val="restart"/>
            <w:tcBorders>
              <w:top w:val="single" w:color="000000" w:sz="4" w:space="0"/>
              <w:left w:val="single" w:color="000000" w:sz="4" w:space="0"/>
              <w:right w:val="single" w:color="000000" w:sz="4" w:space="0"/>
            </w:tcBorders>
            <w:vAlign w:val="center"/>
          </w:tcPr>
          <w:p w14:paraId="592D725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position w:val="-4"/>
                <w:sz w:val="24"/>
                <w:szCs w:val="24"/>
                <w:highlight w:val="none"/>
                <w:lang w:val="en-US" w:eastAsia="zh-CN"/>
              </w:rPr>
            </w:pPr>
            <w:r>
              <w:rPr>
                <w:rFonts w:hint="eastAsia" w:ascii="宋体" w:hAnsi="宋体" w:eastAsia="宋体" w:cs="宋体"/>
                <w:color w:val="auto"/>
                <w:position w:val="-4"/>
                <w:sz w:val="24"/>
                <w:szCs w:val="24"/>
                <w:highlight w:val="none"/>
                <w:lang w:val="en-US" w:eastAsia="zh-CN"/>
              </w:rPr>
              <w:t>商务得分（10分）</w:t>
            </w:r>
          </w:p>
        </w:tc>
        <w:tc>
          <w:tcPr>
            <w:tcW w:w="995" w:type="dxa"/>
            <w:tcBorders>
              <w:top w:val="single" w:color="000000" w:sz="4" w:space="0"/>
              <w:left w:val="single" w:color="000000" w:sz="4" w:space="0"/>
              <w:bottom w:val="single" w:color="000000" w:sz="4" w:space="0"/>
              <w:right w:val="single" w:color="000000" w:sz="4" w:space="0"/>
            </w:tcBorders>
            <w:vAlign w:val="center"/>
          </w:tcPr>
          <w:p w14:paraId="6212252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单位业绩</w:t>
            </w:r>
          </w:p>
        </w:tc>
        <w:tc>
          <w:tcPr>
            <w:tcW w:w="659" w:type="dxa"/>
            <w:tcBorders>
              <w:top w:val="single" w:color="000000" w:sz="4" w:space="0"/>
              <w:left w:val="single" w:color="000000" w:sz="4" w:space="0"/>
              <w:bottom w:val="single" w:color="000000" w:sz="4" w:space="0"/>
              <w:right w:val="single" w:color="000000" w:sz="4" w:space="0"/>
            </w:tcBorders>
            <w:vAlign w:val="center"/>
          </w:tcPr>
          <w:p w14:paraId="243A36C2">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1DAE072D">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供应商每提供1个自 2020 年 1 月 1 日至投标截止时间止（以合同签订时间为准）期间的弱电安装工程专业承包或建筑工程施工总承包业绩（含弱电安装工程）的业绩得2.5分，满分5分。</w:t>
            </w:r>
          </w:p>
          <w:p w14:paraId="3DEAF7BF">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注：业绩证明须提供合同复印件或发包人出据的证明文件，未按要求提供证明材料的，该项业绩不给予计分。</w:t>
            </w:r>
          </w:p>
        </w:tc>
      </w:tr>
      <w:tr w14:paraId="3C1D72DA">
        <w:tblPrEx>
          <w:tblCellMar>
            <w:top w:w="0" w:type="dxa"/>
            <w:left w:w="0" w:type="dxa"/>
            <w:bottom w:w="0" w:type="dxa"/>
            <w:right w:w="0" w:type="dxa"/>
          </w:tblCellMar>
        </w:tblPrEx>
        <w:trPr>
          <w:jc w:val="center"/>
        </w:trPr>
        <w:tc>
          <w:tcPr>
            <w:tcW w:w="654" w:type="dxa"/>
            <w:vMerge w:val="continue"/>
            <w:tcBorders>
              <w:left w:val="single" w:color="000000" w:sz="4" w:space="0"/>
              <w:bottom w:val="single" w:color="auto" w:sz="4" w:space="0"/>
              <w:right w:val="single" w:color="000000" w:sz="4" w:space="0"/>
            </w:tcBorders>
            <w:vAlign w:val="center"/>
          </w:tcPr>
          <w:p w14:paraId="6D56E130">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position w:val="-4"/>
                <w:sz w:val="24"/>
                <w:szCs w:val="24"/>
                <w:highlight w:val="none"/>
                <w:lang w:val="en-US" w:eastAsia="zh-CN"/>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7D75127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现场负责人业绩</w:t>
            </w:r>
          </w:p>
        </w:tc>
        <w:tc>
          <w:tcPr>
            <w:tcW w:w="659" w:type="dxa"/>
            <w:tcBorders>
              <w:top w:val="single" w:color="000000" w:sz="4" w:space="0"/>
              <w:left w:val="single" w:color="000000" w:sz="4" w:space="0"/>
              <w:bottom w:val="single" w:color="000000" w:sz="4" w:space="0"/>
              <w:right w:val="single" w:color="000000" w:sz="4" w:space="0"/>
            </w:tcBorders>
            <w:vAlign w:val="center"/>
          </w:tcPr>
          <w:p w14:paraId="2F8FAE63">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72DDEE62">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项目负责人每提供一个弱电安装工程专业承包或建筑工程施工总承包业绩（含弱电安装工程）的业绩得2.5分，满分5分。</w:t>
            </w:r>
          </w:p>
          <w:p w14:paraId="268CEC5D">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注：业绩证明须提供合同复印件或发包人出据的证明文件，未按要求提供证明材料的，该项业绩不给予计分。</w:t>
            </w:r>
          </w:p>
        </w:tc>
      </w:tr>
      <w:tr w14:paraId="16BB74B4">
        <w:tblPrEx>
          <w:tblCellMar>
            <w:top w:w="0" w:type="dxa"/>
            <w:left w:w="0" w:type="dxa"/>
            <w:bottom w:w="0" w:type="dxa"/>
            <w:right w:w="0" w:type="dxa"/>
          </w:tblCellMar>
        </w:tblPrEx>
        <w:trPr>
          <w:trHeight w:val="2029" w:hRule="atLeast"/>
          <w:jc w:val="center"/>
        </w:trPr>
        <w:tc>
          <w:tcPr>
            <w:tcW w:w="654" w:type="dxa"/>
            <w:vMerge w:val="restart"/>
            <w:tcBorders>
              <w:top w:val="single" w:color="auto" w:sz="4" w:space="0"/>
              <w:left w:val="single" w:color="auto" w:sz="4" w:space="0"/>
              <w:bottom w:val="single" w:color="auto" w:sz="4" w:space="0"/>
              <w:right w:val="single" w:color="auto" w:sz="4" w:space="0"/>
            </w:tcBorders>
            <w:vAlign w:val="center"/>
          </w:tcPr>
          <w:p w14:paraId="5045D974">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5"/>
                <w:sz w:val="24"/>
                <w:szCs w:val="24"/>
                <w:highlight w:val="none"/>
                <w:lang w:val="en-US" w:eastAsia="zh-CN"/>
              </w:rPr>
              <w:t>技术部分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15</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2</w:t>
            </w:r>
            <w:r>
              <w:rPr>
                <w:rFonts w:hint="default" w:ascii="宋体" w:hAnsi="宋体" w:eastAsia="宋体" w:cs="宋体"/>
                <w:color w:val="auto"/>
                <w:spacing w:val="6"/>
                <w:sz w:val="24"/>
                <w:szCs w:val="24"/>
                <w:highlight w:val="none"/>
                <w:lang w:val="en-US"/>
              </w:rPr>
              <w:t>0</w:t>
            </w:r>
            <w:r>
              <w:rPr>
                <w:rFonts w:hint="eastAsia" w:ascii="宋体" w:hAnsi="宋体" w:eastAsia="宋体" w:cs="宋体"/>
                <w:color w:val="auto"/>
                <w:spacing w:val="6"/>
                <w:sz w:val="24"/>
                <w:szCs w:val="24"/>
                <w:highlight w:val="none"/>
                <w:lang w:val="en-US" w:eastAsia="zh-CN"/>
              </w:rPr>
              <w:t>0页</w:t>
            </w:r>
            <w:r>
              <w:rPr>
                <w:rFonts w:hint="eastAsia" w:ascii="宋体" w:hAnsi="宋体" w:eastAsia="宋体" w:cs="宋体"/>
                <w:color w:val="auto"/>
                <w:spacing w:val="6"/>
                <w:sz w:val="24"/>
                <w:szCs w:val="24"/>
                <w:highlight w:val="none"/>
              </w:rPr>
              <w:t>以内）</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7121D13A">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highlight w:val="none"/>
              </w:rPr>
              <w:t>总体施工部署、场地平面布置</w:t>
            </w:r>
          </w:p>
        </w:tc>
        <w:tc>
          <w:tcPr>
            <w:tcW w:w="659" w:type="dxa"/>
            <w:tcBorders>
              <w:top w:val="single" w:color="auto" w:sz="4" w:space="0"/>
              <w:left w:val="single" w:color="auto" w:sz="4" w:space="0"/>
              <w:bottom w:val="single" w:color="auto" w:sz="4" w:space="0"/>
              <w:right w:val="single" w:color="auto" w:sz="4" w:space="0"/>
            </w:tcBorders>
            <w:vAlign w:val="center"/>
          </w:tcPr>
          <w:p w14:paraId="7E1ADA71">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4FCEBE5E">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2.2-3</w:t>
            </w:r>
            <w:r>
              <w:rPr>
                <w:rFonts w:hint="eastAsia" w:ascii="宋体" w:hAnsi="宋体" w:eastAsia="宋体" w:cs="宋体"/>
                <w:color w:val="auto"/>
                <w:kern w:val="0"/>
                <w:highlight w:val="none"/>
                <w:lang w:eastAsia="zh-CN"/>
              </w:rPr>
              <w:t>分；</w:t>
            </w:r>
          </w:p>
          <w:p w14:paraId="0D92C3F0">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1.4-2.1</w:t>
            </w:r>
            <w:r>
              <w:rPr>
                <w:rFonts w:hint="eastAsia" w:ascii="宋体" w:hAnsi="宋体" w:eastAsia="宋体" w:cs="宋体"/>
                <w:color w:val="auto"/>
                <w:kern w:val="0"/>
                <w:highlight w:val="none"/>
                <w:lang w:eastAsia="zh-CN"/>
              </w:rPr>
              <w:t>分；</w:t>
            </w:r>
          </w:p>
          <w:p w14:paraId="04581C16">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0.5-1.3</w:t>
            </w:r>
            <w:r>
              <w:rPr>
                <w:rFonts w:hint="eastAsia" w:ascii="宋体" w:hAnsi="宋体" w:eastAsia="宋体" w:cs="宋体"/>
                <w:color w:val="auto"/>
                <w:kern w:val="0"/>
                <w:highlight w:val="none"/>
                <w:lang w:eastAsia="zh-CN"/>
              </w:rPr>
              <w:t>分；</w:t>
            </w:r>
          </w:p>
          <w:p w14:paraId="57CE6031">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46278A17">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78D52CC8">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7227BBBE">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工程质量保证措施</w:t>
            </w:r>
          </w:p>
        </w:tc>
        <w:tc>
          <w:tcPr>
            <w:tcW w:w="659" w:type="dxa"/>
            <w:tcBorders>
              <w:top w:val="single" w:color="auto" w:sz="4" w:space="0"/>
              <w:left w:val="single" w:color="auto" w:sz="4" w:space="0"/>
              <w:bottom w:val="single" w:color="auto" w:sz="4" w:space="0"/>
              <w:right w:val="single" w:color="auto" w:sz="4" w:space="0"/>
            </w:tcBorders>
            <w:vAlign w:val="center"/>
          </w:tcPr>
          <w:p w14:paraId="24E41FF6">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65272310">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2.2-3</w:t>
            </w:r>
            <w:r>
              <w:rPr>
                <w:rFonts w:hint="eastAsia" w:ascii="宋体" w:hAnsi="宋体" w:eastAsia="宋体" w:cs="宋体"/>
                <w:color w:val="auto"/>
                <w:kern w:val="0"/>
                <w:highlight w:val="none"/>
                <w:lang w:eastAsia="zh-CN"/>
              </w:rPr>
              <w:t>分；</w:t>
            </w:r>
          </w:p>
          <w:p w14:paraId="592FE517">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1.4-2.1</w:t>
            </w:r>
            <w:r>
              <w:rPr>
                <w:rFonts w:hint="eastAsia" w:ascii="宋体" w:hAnsi="宋体" w:eastAsia="宋体" w:cs="宋体"/>
                <w:color w:val="auto"/>
                <w:kern w:val="0"/>
                <w:highlight w:val="none"/>
                <w:lang w:eastAsia="zh-CN"/>
              </w:rPr>
              <w:t>分；</w:t>
            </w:r>
          </w:p>
          <w:p w14:paraId="73134086">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0.5-1.3</w:t>
            </w:r>
            <w:r>
              <w:rPr>
                <w:rFonts w:hint="eastAsia" w:ascii="宋体" w:hAnsi="宋体" w:eastAsia="宋体" w:cs="宋体"/>
                <w:color w:val="auto"/>
                <w:kern w:val="0"/>
                <w:highlight w:val="none"/>
                <w:lang w:eastAsia="zh-CN"/>
              </w:rPr>
              <w:t>分；</w:t>
            </w:r>
          </w:p>
          <w:p w14:paraId="5EB2FF2E">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248740FD">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209AFFB3">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3287550E">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施工进度计划及保证措施</w:t>
            </w:r>
          </w:p>
        </w:tc>
        <w:tc>
          <w:tcPr>
            <w:tcW w:w="659" w:type="dxa"/>
            <w:tcBorders>
              <w:top w:val="single" w:color="auto" w:sz="4" w:space="0"/>
              <w:left w:val="single" w:color="auto" w:sz="4" w:space="0"/>
              <w:bottom w:val="single" w:color="auto" w:sz="4" w:space="0"/>
              <w:right w:val="single" w:color="auto" w:sz="4" w:space="0"/>
            </w:tcBorders>
            <w:vAlign w:val="center"/>
          </w:tcPr>
          <w:p w14:paraId="354EA5F0">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1191094E">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2.2-3</w:t>
            </w:r>
            <w:r>
              <w:rPr>
                <w:rFonts w:hint="eastAsia" w:ascii="宋体" w:hAnsi="宋体" w:eastAsia="宋体" w:cs="宋体"/>
                <w:color w:val="auto"/>
                <w:kern w:val="0"/>
                <w:highlight w:val="none"/>
                <w:lang w:eastAsia="zh-CN"/>
              </w:rPr>
              <w:t>分；</w:t>
            </w:r>
          </w:p>
          <w:p w14:paraId="20B1219E">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1.4-2.1</w:t>
            </w:r>
            <w:r>
              <w:rPr>
                <w:rFonts w:hint="eastAsia" w:ascii="宋体" w:hAnsi="宋体" w:eastAsia="宋体" w:cs="宋体"/>
                <w:color w:val="auto"/>
                <w:kern w:val="0"/>
                <w:highlight w:val="none"/>
                <w:lang w:eastAsia="zh-CN"/>
              </w:rPr>
              <w:t>分；</w:t>
            </w:r>
          </w:p>
          <w:p w14:paraId="60701730">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0.5-1.3</w:t>
            </w:r>
            <w:r>
              <w:rPr>
                <w:rFonts w:hint="eastAsia" w:ascii="宋体" w:hAnsi="宋体" w:eastAsia="宋体" w:cs="宋体"/>
                <w:color w:val="auto"/>
                <w:kern w:val="0"/>
                <w:highlight w:val="none"/>
                <w:lang w:eastAsia="zh-CN"/>
              </w:rPr>
              <w:t>分；</w:t>
            </w:r>
          </w:p>
          <w:p w14:paraId="6F066B2F">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16E2E0A8">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19AC25FF">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0EED608B">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安全施工保障措施</w:t>
            </w:r>
          </w:p>
        </w:tc>
        <w:tc>
          <w:tcPr>
            <w:tcW w:w="659" w:type="dxa"/>
            <w:tcBorders>
              <w:top w:val="single" w:color="auto" w:sz="4" w:space="0"/>
              <w:left w:val="single" w:color="auto" w:sz="4" w:space="0"/>
              <w:bottom w:val="single" w:color="auto" w:sz="4" w:space="0"/>
              <w:right w:val="single" w:color="auto" w:sz="4" w:space="0"/>
            </w:tcBorders>
            <w:vAlign w:val="center"/>
          </w:tcPr>
          <w:p w14:paraId="3ACD1A7A">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46179E3B">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2.2-3</w:t>
            </w:r>
            <w:r>
              <w:rPr>
                <w:rFonts w:hint="eastAsia" w:ascii="宋体" w:hAnsi="宋体" w:eastAsia="宋体" w:cs="宋体"/>
                <w:color w:val="auto"/>
                <w:kern w:val="0"/>
                <w:highlight w:val="none"/>
                <w:lang w:eastAsia="zh-CN"/>
              </w:rPr>
              <w:t>分；</w:t>
            </w:r>
          </w:p>
          <w:p w14:paraId="4F09F507">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1.4-2.1</w:t>
            </w:r>
            <w:r>
              <w:rPr>
                <w:rFonts w:hint="eastAsia" w:ascii="宋体" w:hAnsi="宋体" w:eastAsia="宋体" w:cs="宋体"/>
                <w:color w:val="auto"/>
                <w:kern w:val="0"/>
                <w:highlight w:val="none"/>
                <w:lang w:eastAsia="zh-CN"/>
              </w:rPr>
              <w:t>分；</w:t>
            </w:r>
          </w:p>
          <w:p w14:paraId="4A71B533">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0.5-1.3</w:t>
            </w:r>
            <w:r>
              <w:rPr>
                <w:rFonts w:hint="eastAsia" w:ascii="宋体" w:hAnsi="宋体" w:eastAsia="宋体" w:cs="宋体"/>
                <w:color w:val="auto"/>
                <w:kern w:val="0"/>
                <w:highlight w:val="none"/>
                <w:lang w:eastAsia="zh-CN"/>
              </w:rPr>
              <w:t>分；</w:t>
            </w:r>
          </w:p>
          <w:p w14:paraId="6FE2131E">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4D5A4043">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5DC16780">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11A3BED7">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文明施工、环境保护保障措施</w:t>
            </w:r>
          </w:p>
        </w:tc>
        <w:tc>
          <w:tcPr>
            <w:tcW w:w="659" w:type="dxa"/>
            <w:tcBorders>
              <w:top w:val="single" w:color="auto" w:sz="4" w:space="0"/>
              <w:left w:val="single" w:color="auto" w:sz="4" w:space="0"/>
              <w:bottom w:val="single" w:color="auto" w:sz="4" w:space="0"/>
              <w:right w:val="single" w:color="auto" w:sz="4" w:space="0"/>
            </w:tcBorders>
            <w:vAlign w:val="center"/>
          </w:tcPr>
          <w:p w14:paraId="19B786F0">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55E00205">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2.2-3</w:t>
            </w:r>
            <w:r>
              <w:rPr>
                <w:rFonts w:hint="eastAsia" w:ascii="宋体" w:hAnsi="宋体" w:eastAsia="宋体" w:cs="宋体"/>
                <w:color w:val="auto"/>
                <w:kern w:val="0"/>
                <w:highlight w:val="none"/>
                <w:lang w:eastAsia="zh-CN"/>
              </w:rPr>
              <w:t>分；</w:t>
            </w:r>
          </w:p>
          <w:p w14:paraId="03CD6FDB">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1.4-2.1</w:t>
            </w:r>
            <w:r>
              <w:rPr>
                <w:rFonts w:hint="eastAsia" w:ascii="宋体" w:hAnsi="宋体" w:eastAsia="宋体" w:cs="宋体"/>
                <w:color w:val="auto"/>
                <w:kern w:val="0"/>
                <w:highlight w:val="none"/>
                <w:lang w:eastAsia="zh-CN"/>
              </w:rPr>
              <w:t>分；</w:t>
            </w:r>
          </w:p>
          <w:p w14:paraId="36AB53A7">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0.5-1.3</w:t>
            </w:r>
            <w:r>
              <w:rPr>
                <w:rFonts w:hint="eastAsia" w:ascii="宋体" w:hAnsi="宋体" w:eastAsia="宋体" w:cs="宋体"/>
                <w:color w:val="auto"/>
                <w:kern w:val="0"/>
                <w:highlight w:val="none"/>
                <w:lang w:eastAsia="zh-CN"/>
              </w:rPr>
              <w:t>分；</w:t>
            </w:r>
          </w:p>
          <w:p w14:paraId="04D7EED7">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bl>
    <w:p w14:paraId="6E8449C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注：供应商对提供资料的真实性负责，若提供虚假材料应标或做虚假承诺，将移交行政监督部门处理，面临被认定为虚假应标，废除</w:t>
      </w:r>
      <w:r>
        <w:rPr>
          <w:rFonts w:hint="eastAsia" w:ascii="宋体" w:hAnsi="宋体" w:eastAsia="宋体" w:cs="宋体"/>
          <w:b/>
          <w:bCs/>
          <w:color w:val="auto"/>
          <w:kern w:val="0"/>
          <w:highlight w:val="none"/>
          <w:lang w:eastAsia="zh-CN" w:bidi="ar"/>
        </w:rPr>
        <w:t>成交</w:t>
      </w:r>
      <w:r>
        <w:rPr>
          <w:rFonts w:hint="eastAsia" w:ascii="宋体" w:hAnsi="宋体" w:eastAsia="宋体" w:cs="宋体"/>
          <w:b/>
          <w:bCs/>
          <w:color w:val="auto"/>
          <w:kern w:val="0"/>
          <w:highlight w:val="none"/>
          <w:lang w:bidi="ar"/>
        </w:rPr>
        <w:t>资格、行政处罚等风险。 注：供应商对提供资料的真实性负责，若提供虚假材料应标或做虚假承诺，将移交行政监督部门处理，面临被认定为虚假应标，废除</w:t>
      </w:r>
      <w:r>
        <w:rPr>
          <w:rFonts w:hint="eastAsia" w:ascii="宋体" w:hAnsi="宋体" w:eastAsia="宋体" w:cs="宋体"/>
          <w:b/>
          <w:bCs/>
          <w:color w:val="auto"/>
          <w:kern w:val="0"/>
          <w:highlight w:val="none"/>
          <w:lang w:eastAsia="zh-CN" w:bidi="ar"/>
        </w:rPr>
        <w:t>成交</w:t>
      </w:r>
      <w:r>
        <w:rPr>
          <w:rFonts w:hint="eastAsia" w:ascii="宋体" w:hAnsi="宋体" w:eastAsia="宋体" w:cs="宋体"/>
          <w:b/>
          <w:bCs/>
          <w:color w:val="auto"/>
          <w:kern w:val="0"/>
          <w:highlight w:val="none"/>
          <w:lang w:bidi="ar"/>
        </w:rPr>
        <w:t xml:space="preserve">资格、行政处罚等风险。 </w:t>
      </w:r>
    </w:p>
    <w:p w14:paraId="6689CB1A">
      <w:pPr>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br w:type="page"/>
      </w:r>
    </w:p>
    <w:p w14:paraId="0427D99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1、评标方法 </w:t>
      </w:r>
    </w:p>
    <w:p w14:paraId="4DA3D2C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本次评标采用综合评分法。</w:t>
      </w:r>
    </w:p>
    <w:p w14:paraId="4FE67B59">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根据财政部对《政府采购货物和服务招标投标管理办法》（财政部令第87号）第四十四条规定：</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采购项目开标结束后，采购人或者采购代理机构应当依法对供应商的资格进行审查。合格供应商不足3家的，不得评标。</w:t>
      </w:r>
    </w:p>
    <w:p w14:paraId="3E0414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评标委员会对满足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实质性要求的响应文件，按照本章第2.2款规定的评分标准进行打分，并按综合得分由高到低顺序推荐成交候选人，或根据采购人授权直接确定成交人，但</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报价低于其成本的除外。综合评分相等时，以</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报价低的优先；</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报价也相等的，由采购人自行确定。 </w:t>
      </w:r>
    </w:p>
    <w:p w14:paraId="6DE9686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2、评审标准 </w:t>
      </w:r>
    </w:p>
    <w:p w14:paraId="4A9F289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2.1 初步评审标准 </w:t>
      </w:r>
    </w:p>
    <w:p w14:paraId="21D099B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2.1.1 形式评审标准：见评标办法前附表。 </w:t>
      </w:r>
    </w:p>
    <w:p w14:paraId="7AC4EAE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2.1.2 资格评审标准：见评标办法前附表。 </w:t>
      </w:r>
    </w:p>
    <w:p w14:paraId="2F50FC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2.1.3 响应性评审标准：见评标办法前附表。 </w:t>
      </w:r>
    </w:p>
    <w:p w14:paraId="59DE9DB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2.2 分值构成与评分标准 </w:t>
      </w:r>
    </w:p>
    <w:p w14:paraId="6E8143A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2.2.1 分值构成</w:t>
      </w:r>
    </w:p>
    <w:p w14:paraId="1416C2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（1）报价得分：见评标办法前附表； </w:t>
      </w:r>
    </w:p>
    <w:p w14:paraId="63417E6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（2）商务得分：见评标办法前附表； </w:t>
      </w:r>
    </w:p>
    <w:p w14:paraId="78583DB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（3）技术得分：评标办法前附表；</w:t>
      </w:r>
    </w:p>
    <w:p w14:paraId="1E7C70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（4）政策加分：评标办法前附表； </w:t>
      </w:r>
    </w:p>
    <w:p w14:paraId="4CAF3F6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2.2.2 评标基准价计算 </w:t>
      </w:r>
    </w:p>
    <w:p w14:paraId="2F9C830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评标基准价计算方法：见评标办法前附表。 </w:t>
      </w:r>
    </w:p>
    <w:p w14:paraId="216EFB5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2.2.3 </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报价的计算公式：见评标办法前附表。 </w:t>
      </w:r>
    </w:p>
    <w:p w14:paraId="0F72FA3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2.2.4 评分标准：见评标办法前附表； </w:t>
      </w:r>
    </w:p>
    <w:p w14:paraId="63DC3AF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3、评标程序 </w:t>
      </w:r>
    </w:p>
    <w:p w14:paraId="4E992B8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3.1 初步评审 </w:t>
      </w:r>
    </w:p>
    <w:p w14:paraId="3B0C5F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3.1.1 评标委员会依据本章第2.1款规定的标准对响应文件进行初步评审，有一项不符合评审标准的，作无效标处理。 </w:t>
      </w:r>
    </w:p>
    <w:p w14:paraId="3D12C40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3.1.2 供应商有以下情形之一的，评标委员会应否决其投标； </w:t>
      </w:r>
    </w:p>
    <w:p w14:paraId="2ADFE09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（1）串通投标或弄虚作假或有其他违法行为的； </w:t>
      </w:r>
    </w:p>
    <w:p w14:paraId="14A831E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（2）不按评标委员会要求澄清、说明或补正的。</w:t>
      </w:r>
    </w:p>
    <w:p w14:paraId="239A176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3.1.3 </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报价有算术错误的，评标委员会按以下原则对</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报价进行修正，修正的价格经供应商书面确认后具有约束力。供应商不接受修正价格的，其投标作无效标处理。 </w:t>
      </w:r>
    </w:p>
    <w:p w14:paraId="0AA52EE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(1）响应文件中的大写金额与小写金额不一致的，以大写金额为准； </w:t>
      </w:r>
    </w:p>
    <w:p w14:paraId="0A199EC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(2）总价金额与依据单价计算出的结果不一致的，以单价金额为准修正总价，但单价金额小数点有明显错误的除外。 </w:t>
      </w:r>
    </w:p>
    <w:p w14:paraId="1C89B2C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3.2 详细评审 </w:t>
      </w:r>
    </w:p>
    <w:p w14:paraId="4F38F46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3.2.1 对通过初步评审的响应文件，由评标委员会按评标办法规定的量化因素和分值进行打分，并计算出综合评分得分。每个供应商最终得分为各评委打分的算术平均值。 </w:t>
      </w:r>
    </w:p>
    <w:p w14:paraId="587D9CE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3.2.2 评分分值计算保留小数点后两位，小数点后第三位“四舍五入”。 </w:t>
      </w:r>
    </w:p>
    <w:p w14:paraId="6E76702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3.2.3 评标委员会发现供应商的报价明显低于其他</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报价，或者在设有标底时明显低于标底，使得其</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报价可能低于其个别成本的，应当要求该供应商作出书面说明并提供相应的证明材料。供应商不能合理说明或者不能提供相应证明材料的，由评标委员会认定该供应商以低于成本报价竞标，其投标作无效标处理。 </w:t>
      </w:r>
    </w:p>
    <w:p w14:paraId="0FEF1F0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3.3 响应文件的澄清和补正 </w:t>
      </w:r>
    </w:p>
    <w:p w14:paraId="02E38CD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3.3.1 在评标过程中，评标委员会可以书面形式要求供应商对所提交响应文件中不明确的内容进行书面澄清或说明，或者对细微偏差进行补正。评标委员会不接受供应商主动提出的澄清、说明或补正。 </w:t>
      </w:r>
    </w:p>
    <w:p w14:paraId="2F7933D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3.3.2 澄清、说明和补正不得改变响应文件的实质性内容（算术性错误修正的除外）。供应商的书面澄清、说明和补正属于响应文件的组成部分。 </w:t>
      </w:r>
    </w:p>
    <w:p w14:paraId="36520A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3.3.3 评标委员会对供应商提交的澄清、说明或补正有疑问的，可以要求供应商进一步澄清、说明或补正，直至满足评标委员会的要求。 </w:t>
      </w:r>
    </w:p>
    <w:p w14:paraId="56AD41E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3.4 评标结果 </w:t>
      </w:r>
    </w:p>
    <w:p w14:paraId="7EB6B61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3.4.1 评标委员会按照供应商综合得分高到低的顺序推荐3名中标候选人。 </w:t>
      </w:r>
    </w:p>
    <w:p w14:paraId="757E6E8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3.4.2 评标委员会完成评标后，应当向采购人提交书面评标报告。 </w:t>
      </w:r>
    </w:p>
    <w:p w14:paraId="081EAB8E">
      <w:pPr>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br w:type="page"/>
      </w:r>
    </w:p>
    <w:p w14:paraId="6173CFD8">
      <w:pPr>
        <w:widowControl/>
        <w:ind w:firstLine="0" w:firstLineChars="0"/>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附：废标条件</w:t>
      </w:r>
    </w:p>
    <w:p w14:paraId="1F51DB4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B1.开标废标条件：</w:t>
      </w:r>
      <w:r>
        <w:rPr>
          <w:rFonts w:hint="eastAsia" w:ascii="宋体" w:hAnsi="宋体" w:eastAsia="宋体" w:cs="宋体"/>
          <w:color w:val="auto"/>
          <w:kern w:val="0"/>
          <w:highlight w:val="none"/>
          <w:lang w:bidi="ar"/>
        </w:rPr>
        <w:t xml:space="preserve">供应商或其响应文件有下列情形之一的，其投标作无效标处理： </w:t>
      </w:r>
    </w:p>
    <w:p w14:paraId="00E8415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B1.1 </w:t>
      </w:r>
      <w:r>
        <w:rPr>
          <w:rFonts w:hint="eastAsia" w:ascii="宋体" w:hAnsi="宋体" w:eastAsia="宋体" w:cs="宋体"/>
          <w:color w:val="auto"/>
          <w:kern w:val="0"/>
          <w:highlight w:val="none"/>
          <w:lang w:bidi="ar"/>
        </w:rPr>
        <w:t>响应文件未按本</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要求递交的； </w:t>
      </w:r>
    </w:p>
    <w:p w14:paraId="3341C54D">
      <w:pPr>
        <w:widowControl/>
        <w:ind w:firstLine="482"/>
        <w:rPr>
          <w:rFonts w:hint="eastAsia" w:ascii="宋体" w:hAnsi="宋体" w:eastAsia="宋体" w:cs="宋体"/>
          <w:strike/>
          <w:color w:val="auto"/>
          <w:highlight w:val="none"/>
        </w:rPr>
      </w:pPr>
      <w:r>
        <w:rPr>
          <w:rFonts w:hint="eastAsia" w:ascii="宋体" w:hAnsi="宋体" w:eastAsia="宋体" w:cs="宋体"/>
          <w:b/>
          <w:bCs/>
          <w:strike/>
          <w:color w:val="auto"/>
          <w:kern w:val="0"/>
          <w:highlight w:val="none"/>
          <w:lang w:bidi="ar"/>
        </w:rPr>
        <w:t>B1.2</w:t>
      </w:r>
      <w:r>
        <w:rPr>
          <w:rFonts w:hint="eastAsia" w:ascii="宋体" w:hAnsi="宋体" w:eastAsia="宋体" w:cs="宋体"/>
          <w:strike/>
          <w:color w:val="auto"/>
          <w:kern w:val="0"/>
          <w:highlight w:val="none"/>
          <w:lang w:bidi="ar"/>
        </w:rPr>
        <w:t xml:space="preserve"> 未按要求提交</w:t>
      </w:r>
      <w:r>
        <w:rPr>
          <w:rFonts w:hint="eastAsia" w:ascii="宋体" w:hAnsi="宋体" w:eastAsia="宋体" w:cs="宋体"/>
          <w:strike/>
          <w:color w:val="auto"/>
          <w:kern w:val="0"/>
          <w:highlight w:val="none"/>
          <w:lang w:eastAsia="zh-CN" w:bidi="ar"/>
        </w:rPr>
        <w:t>响应</w:t>
      </w:r>
      <w:r>
        <w:rPr>
          <w:rFonts w:hint="eastAsia" w:ascii="宋体" w:hAnsi="宋体" w:eastAsia="宋体" w:cs="宋体"/>
          <w:strike/>
          <w:color w:val="auto"/>
          <w:kern w:val="0"/>
          <w:highlight w:val="none"/>
          <w:lang w:bidi="ar"/>
        </w:rPr>
        <w:t xml:space="preserve">保证金的； </w:t>
      </w:r>
    </w:p>
    <w:p w14:paraId="104EDD07">
      <w:pPr>
        <w:widowControl/>
        <w:ind w:firstLine="482"/>
        <w:rPr>
          <w:rFonts w:hint="eastAsia" w:ascii="宋体" w:hAnsi="宋体" w:eastAsia="宋体" w:cs="宋体"/>
          <w:strike w:val="0"/>
          <w:color w:val="auto"/>
          <w:highlight w:val="none"/>
        </w:rPr>
      </w:pPr>
      <w:r>
        <w:rPr>
          <w:rFonts w:hint="eastAsia" w:ascii="宋体" w:hAnsi="宋体" w:eastAsia="宋体" w:cs="宋体"/>
          <w:b/>
          <w:bCs/>
          <w:strike w:val="0"/>
          <w:dstrike w:val="0"/>
          <w:color w:val="auto"/>
          <w:kern w:val="0"/>
          <w:highlight w:val="none"/>
          <w:lang w:bidi="ar"/>
        </w:rPr>
        <w:t>B1.3</w:t>
      </w:r>
      <w:r>
        <w:rPr>
          <w:rFonts w:hint="eastAsia" w:ascii="宋体" w:hAnsi="宋体" w:eastAsia="宋体" w:cs="宋体"/>
          <w:strike w:val="0"/>
          <w:dstrike w:val="0"/>
          <w:color w:val="auto"/>
          <w:kern w:val="0"/>
          <w:highlight w:val="none"/>
          <w:lang w:bidi="ar"/>
        </w:rPr>
        <w:t xml:space="preserve"> 现场参加开标的供应商代表未按时到场或身份证明材料不合格的；</w:t>
      </w:r>
      <w:r>
        <w:rPr>
          <w:rFonts w:hint="eastAsia" w:ascii="宋体" w:hAnsi="宋体" w:eastAsia="宋体" w:cs="宋体"/>
          <w:strike w:val="0"/>
          <w:color w:val="auto"/>
          <w:kern w:val="0"/>
          <w:highlight w:val="none"/>
          <w:lang w:bidi="ar"/>
        </w:rPr>
        <w:t xml:space="preserve"> </w:t>
      </w:r>
    </w:p>
    <w:p w14:paraId="0B6C3F0C">
      <w:pPr>
        <w:widowControl/>
        <w:ind w:firstLine="482"/>
        <w:rPr>
          <w:rFonts w:hint="eastAsia" w:ascii="宋体" w:hAnsi="宋体" w:eastAsia="宋体" w:cs="宋体"/>
          <w:color w:val="auto"/>
          <w:highlight w:val="none"/>
        </w:rPr>
      </w:pPr>
      <w:r>
        <w:rPr>
          <w:rFonts w:hint="eastAsia" w:ascii="宋体" w:hAnsi="宋体" w:eastAsia="宋体" w:cs="宋体"/>
          <w:b/>
          <w:bCs/>
          <w:strike/>
          <w:color w:val="auto"/>
          <w:kern w:val="0"/>
          <w:highlight w:val="none"/>
          <w:lang w:bidi="ar"/>
        </w:rPr>
        <w:t xml:space="preserve">B1.4 </w:t>
      </w:r>
      <w:r>
        <w:rPr>
          <w:rFonts w:hint="eastAsia" w:ascii="宋体" w:hAnsi="宋体" w:eastAsia="宋体" w:cs="宋体"/>
          <w:strike/>
          <w:color w:val="auto"/>
          <w:kern w:val="0"/>
          <w:highlight w:val="none"/>
          <w:lang w:bidi="ar"/>
        </w:rPr>
        <w:t>远程参与投标的在投标截止时间后30分内解密不成功的</w:t>
      </w:r>
      <w:r>
        <w:rPr>
          <w:rFonts w:hint="eastAsia" w:ascii="宋体" w:hAnsi="宋体" w:eastAsia="宋体" w:cs="宋体"/>
          <w:b/>
          <w:bCs/>
          <w:color w:val="auto"/>
          <w:kern w:val="0"/>
          <w:highlight w:val="none"/>
          <w:lang w:bidi="ar"/>
        </w:rPr>
        <w:t>（不适用，无需解密）</w:t>
      </w:r>
      <w:r>
        <w:rPr>
          <w:rFonts w:hint="eastAsia" w:ascii="宋体" w:hAnsi="宋体" w:eastAsia="宋体" w:cs="宋体"/>
          <w:color w:val="auto"/>
          <w:kern w:val="0"/>
          <w:highlight w:val="none"/>
          <w:lang w:bidi="ar"/>
        </w:rPr>
        <w:t xml:space="preserve">； </w:t>
      </w:r>
    </w:p>
    <w:p w14:paraId="6A950B0F">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 xml:space="preserve">B1.5 </w:t>
      </w:r>
      <w:r>
        <w:rPr>
          <w:rFonts w:hint="eastAsia" w:ascii="宋体" w:hAnsi="宋体" w:eastAsia="宋体" w:cs="宋体"/>
          <w:color w:val="auto"/>
          <w:kern w:val="0"/>
          <w:highlight w:val="none"/>
          <w:lang w:bidi="ar"/>
        </w:rPr>
        <w:t>供应商资格审查不通过的</w:t>
      </w:r>
      <w:r>
        <w:rPr>
          <w:rFonts w:hint="eastAsia" w:ascii="宋体" w:hAnsi="宋体" w:eastAsia="宋体" w:cs="宋体"/>
          <w:b/>
          <w:bCs/>
          <w:color w:val="auto"/>
          <w:kern w:val="0"/>
          <w:highlight w:val="none"/>
          <w:lang w:bidi="ar"/>
        </w:rPr>
        <w:t>；</w:t>
      </w:r>
    </w:p>
    <w:p w14:paraId="36FD520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B1.6 </w:t>
      </w:r>
      <w:r>
        <w:rPr>
          <w:rFonts w:hint="eastAsia" w:ascii="宋体" w:hAnsi="宋体" w:eastAsia="宋体" w:cs="宋体"/>
          <w:color w:val="auto"/>
          <w:kern w:val="0"/>
          <w:highlight w:val="none"/>
          <w:lang w:bidi="ar"/>
        </w:rPr>
        <w:t>供应商的</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总价</w:t>
      </w:r>
      <w:r>
        <w:rPr>
          <w:rFonts w:hint="eastAsia" w:ascii="宋体" w:hAnsi="宋体" w:eastAsia="宋体" w:cs="宋体"/>
          <w:b/>
          <w:bCs/>
          <w:color w:val="auto"/>
          <w:kern w:val="0"/>
          <w:highlight w:val="none"/>
          <w:lang w:bidi="ar"/>
        </w:rPr>
        <w:t>超过已公布的最高</w:t>
      </w:r>
      <w:r>
        <w:rPr>
          <w:rFonts w:hint="eastAsia" w:ascii="宋体" w:hAnsi="宋体" w:eastAsia="宋体" w:cs="宋体"/>
          <w:b/>
          <w:bCs/>
          <w:color w:val="auto"/>
          <w:kern w:val="0"/>
          <w:highlight w:val="none"/>
          <w:lang w:eastAsia="zh-CN" w:bidi="ar"/>
        </w:rPr>
        <w:t>响应</w:t>
      </w:r>
      <w:r>
        <w:rPr>
          <w:rFonts w:hint="eastAsia" w:ascii="宋体" w:hAnsi="宋体" w:eastAsia="宋体" w:cs="宋体"/>
          <w:b/>
          <w:bCs/>
          <w:color w:val="auto"/>
          <w:kern w:val="0"/>
          <w:highlight w:val="none"/>
          <w:lang w:bidi="ar"/>
        </w:rPr>
        <w:t>限价（</w:t>
      </w:r>
      <w:r>
        <w:rPr>
          <w:rFonts w:hint="eastAsia" w:ascii="宋体" w:hAnsi="宋体" w:eastAsia="宋体" w:cs="宋体"/>
          <w:b/>
          <w:bCs/>
          <w:color w:val="auto"/>
          <w:kern w:val="0"/>
          <w:highlight w:val="none"/>
          <w:lang w:eastAsia="zh-CN" w:bidi="ar"/>
        </w:rPr>
        <w:t>采购</w:t>
      </w:r>
      <w:r>
        <w:rPr>
          <w:rFonts w:hint="eastAsia" w:ascii="宋体" w:hAnsi="宋体" w:eastAsia="宋体" w:cs="宋体"/>
          <w:b/>
          <w:bCs/>
          <w:color w:val="auto"/>
          <w:kern w:val="0"/>
          <w:highlight w:val="none"/>
          <w:lang w:bidi="ar"/>
        </w:rPr>
        <w:t>控制价）及其他相应价格的；</w:t>
      </w:r>
      <w:r>
        <w:rPr>
          <w:rFonts w:hint="eastAsia" w:ascii="宋体" w:hAnsi="宋体" w:eastAsia="宋体" w:cs="宋体"/>
          <w:color w:val="auto"/>
          <w:kern w:val="0"/>
          <w:highlight w:val="none"/>
          <w:lang w:bidi="ar"/>
        </w:rPr>
        <w:t xml:space="preserve"> </w:t>
      </w:r>
    </w:p>
    <w:p w14:paraId="3D4EACC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B2. 评标废标条件：</w:t>
      </w:r>
      <w:r>
        <w:rPr>
          <w:rFonts w:hint="eastAsia" w:ascii="宋体" w:hAnsi="宋体" w:eastAsia="宋体" w:cs="宋体"/>
          <w:color w:val="auto"/>
          <w:kern w:val="0"/>
          <w:highlight w:val="none"/>
          <w:lang w:bidi="ar"/>
        </w:rPr>
        <w:t xml:space="preserve">供应商或其响应文件有下列情形之一的，其投标作废标处理： </w:t>
      </w:r>
    </w:p>
    <w:p w14:paraId="390E8A9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B2.1</w:t>
      </w:r>
      <w:r>
        <w:rPr>
          <w:rFonts w:hint="eastAsia" w:ascii="宋体" w:hAnsi="宋体" w:eastAsia="宋体" w:cs="宋体"/>
          <w:color w:val="auto"/>
          <w:kern w:val="0"/>
          <w:highlight w:val="none"/>
          <w:lang w:bidi="ar"/>
        </w:rPr>
        <w:t xml:space="preserve"> 第二章“供应商须知”第1.4.4项规定的任何一种情形的； </w:t>
      </w:r>
    </w:p>
    <w:p w14:paraId="79B2CE1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B2.2 </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函的</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价格采用手写或作修改的； </w:t>
      </w:r>
    </w:p>
    <w:p w14:paraId="1062595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B2.3 </w:t>
      </w:r>
      <w:r>
        <w:rPr>
          <w:rFonts w:hint="eastAsia" w:ascii="宋体" w:hAnsi="宋体" w:eastAsia="宋体" w:cs="宋体"/>
          <w:color w:val="auto"/>
          <w:kern w:val="0"/>
          <w:highlight w:val="none"/>
          <w:lang w:bidi="ar"/>
        </w:rPr>
        <w:t xml:space="preserve">不按评标委员会要求澄清、说明或补正的； </w:t>
      </w:r>
    </w:p>
    <w:p w14:paraId="3850F26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B2.4 </w:t>
      </w:r>
      <w:r>
        <w:rPr>
          <w:rFonts w:hint="eastAsia" w:ascii="宋体" w:hAnsi="宋体" w:eastAsia="宋体" w:cs="宋体"/>
          <w:color w:val="auto"/>
          <w:kern w:val="0"/>
          <w:highlight w:val="none"/>
          <w:lang w:bidi="ar"/>
        </w:rPr>
        <w:t>在响应性评审中，评标委员会认定供应商的投标不符合评标办法前附表中规定的任何一项评审标准的；</w:t>
      </w:r>
      <w:r>
        <w:rPr>
          <w:rFonts w:hint="eastAsia" w:ascii="宋体" w:hAnsi="宋体" w:eastAsia="宋体" w:cs="宋体"/>
          <w:b/>
          <w:bCs/>
          <w:color w:val="auto"/>
          <w:kern w:val="0"/>
          <w:highlight w:val="none"/>
          <w:lang w:bidi="ar"/>
        </w:rPr>
        <w:t xml:space="preserve"> </w:t>
      </w:r>
    </w:p>
    <w:p w14:paraId="28E2FE8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B2.5 </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报价明显低于成本的，供应商不能合理说明或者不能提供相关证明材料的；</w:t>
      </w:r>
    </w:p>
    <w:p w14:paraId="29CA820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B2.6 </w:t>
      </w:r>
      <w:r>
        <w:rPr>
          <w:rFonts w:hint="eastAsia" w:ascii="宋体" w:hAnsi="宋体" w:eastAsia="宋体" w:cs="宋体"/>
          <w:color w:val="auto"/>
          <w:kern w:val="0"/>
          <w:highlight w:val="none"/>
          <w:lang w:bidi="ar"/>
        </w:rPr>
        <w:t>供应商以他人名义投标、串通投标、以行贿手段谋取中标或者以弄虚作假等方式投标的；</w:t>
      </w:r>
      <w:r>
        <w:rPr>
          <w:rFonts w:hint="eastAsia" w:ascii="宋体" w:hAnsi="宋体" w:eastAsia="宋体" w:cs="宋体"/>
          <w:b/>
          <w:bCs/>
          <w:color w:val="auto"/>
          <w:kern w:val="0"/>
          <w:highlight w:val="none"/>
          <w:lang w:bidi="ar"/>
        </w:rPr>
        <w:t xml:space="preserve"> </w:t>
      </w:r>
    </w:p>
    <w:p w14:paraId="79CA34E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B2.7 </w:t>
      </w:r>
      <w:r>
        <w:rPr>
          <w:rFonts w:hint="eastAsia" w:ascii="宋体" w:hAnsi="宋体" w:eastAsia="宋体" w:cs="宋体"/>
          <w:color w:val="auto"/>
          <w:kern w:val="0"/>
          <w:highlight w:val="none"/>
          <w:lang w:bidi="ar"/>
        </w:rPr>
        <w:t xml:space="preserve">提供虚假材料，骗取政府采购供应商资格的； </w:t>
      </w:r>
    </w:p>
    <w:p w14:paraId="59136AB0">
      <w:pPr>
        <w:widowControl/>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 xml:space="preserve">B2.8 </w:t>
      </w:r>
      <w:r>
        <w:rPr>
          <w:rFonts w:hint="eastAsia" w:ascii="宋体" w:hAnsi="宋体" w:eastAsia="宋体" w:cs="宋体"/>
          <w:color w:val="auto"/>
          <w:kern w:val="0"/>
          <w:highlight w:val="none"/>
          <w:lang w:bidi="ar"/>
        </w:rPr>
        <w:t>响应文件对本</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需承诺内容未作出承诺的；</w:t>
      </w:r>
    </w:p>
    <w:p w14:paraId="5731785A">
      <w:pPr>
        <w:widowControl/>
        <w:ind w:firstLine="482"/>
        <w:rPr>
          <w:rFonts w:hint="eastAsia" w:ascii="宋体" w:hAnsi="宋体" w:eastAsia="宋体" w:cs="宋体"/>
          <w:b/>
          <w:bCs/>
          <w:color w:val="auto"/>
          <w:highlight w:val="none"/>
        </w:rPr>
      </w:pPr>
      <w:r>
        <w:rPr>
          <w:rFonts w:hint="eastAsia" w:ascii="宋体" w:hAnsi="宋体" w:eastAsia="宋体" w:cs="宋体"/>
          <w:b/>
          <w:bCs/>
          <w:color w:val="auto"/>
          <w:kern w:val="0"/>
          <w:highlight w:val="none"/>
          <w:lang w:bidi="ar"/>
        </w:rPr>
        <w:t>B2.9 评标委员会认定供应商以低于成本</w:t>
      </w:r>
      <w:r>
        <w:rPr>
          <w:rFonts w:hint="eastAsia" w:ascii="宋体" w:hAnsi="宋体" w:eastAsia="宋体" w:cs="宋体"/>
          <w:b/>
          <w:bCs/>
          <w:color w:val="auto"/>
          <w:kern w:val="0"/>
          <w:highlight w:val="none"/>
          <w:lang w:val="en-US" w:eastAsia="zh-CN" w:bidi="ar"/>
        </w:rPr>
        <w:t>或低于其他供应商报价平均值的70%</w:t>
      </w:r>
      <w:r>
        <w:rPr>
          <w:rFonts w:hint="eastAsia" w:ascii="宋体" w:hAnsi="宋体" w:eastAsia="宋体" w:cs="宋体"/>
          <w:b/>
          <w:bCs/>
          <w:color w:val="auto"/>
          <w:kern w:val="0"/>
          <w:highlight w:val="none"/>
          <w:lang w:bidi="ar"/>
        </w:rPr>
        <w:t>报价竞标的；</w:t>
      </w:r>
    </w:p>
    <w:p w14:paraId="280A70A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B2.10 </w:t>
      </w:r>
      <w:r>
        <w:rPr>
          <w:rFonts w:hint="eastAsia" w:ascii="宋体" w:hAnsi="宋体" w:eastAsia="宋体" w:cs="宋体"/>
          <w:color w:val="auto"/>
          <w:kern w:val="0"/>
          <w:highlight w:val="none"/>
          <w:lang w:bidi="ar"/>
        </w:rPr>
        <w:t>评标委员会认定响应文件异常一致或</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报价呈规律性差异的； </w:t>
      </w:r>
    </w:p>
    <w:p w14:paraId="15B532E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B2.11 </w:t>
      </w:r>
      <w:r>
        <w:rPr>
          <w:rFonts w:hint="eastAsia" w:ascii="宋体" w:hAnsi="宋体" w:eastAsia="宋体" w:cs="宋体"/>
          <w:color w:val="auto"/>
          <w:kern w:val="0"/>
          <w:highlight w:val="none"/>
          <w:lang w:bidi="ar"/>
        </w:rPr>
        <w:t xml:space="preserve">评标委员会认定供应商串通投标或弄虚作假或有其他违法行为的； </w:t>
      </w:r>
    </w:p>
    <w:p w14:paraId="76F9DA8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B2.12 </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中规定的其它无效标情况； </w:t>
      </w:r>
    </w:p>
    <w:p w14:paraId="6FA7DE89">
      <w:pPr>
        <w:widowControl/>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 xml:space="preserve">B2.13 </w:t>
      </w:r>
      <w:r>
        <w:rPr>
          <w:rFonts w:hint="eastAsia" w:ascii="宋体" w:hAnsi="宋体" w:eastAsia="宋体" w:cs="宋体"/>
          <w:color w:val="auto"/>
          <w:kern w:val="0"/>
          <w:highlight w:val="none"/>
          <w:lang w:bidi="ar"/>
        </w:rPr>
        <w:t>违反法律法规规章相关规定的。</w:t>
      </w:r>
    </w:p>
    <w:p w14:paraId="52FB83C2">
      <w:pPr>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B3. 其他废标的规定：</w:t>
      </w:r>
      <w:r>
        <w:rPr>
          <w:rFonts w:hint="eastAsia" w:ascii="宋体" w:hAnsi="宋体" w:eastAsia="宋体" w:cs="宋体"/>
          <w:color w:val="auto"/>
          <w:kern w:val="0"/>
          <w:highlight w:val="none"/>
          <w:lang w:bidi="ar"/>
        </w:rPr>
        <w:t xml:space="preserve"> 有下列情形之一时，应予以废标：</w:t>
      </w:r>
    </w:p>
    <w:p w14:paraId="067B5D25">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B3.1</w:t>
      </w:r>
      <w:r>
        <w:rPr>
          <w:rFonts w:hint="eastAsia" w:ascii="宋体" w:hAnsi="宋体" w:eastAsia="宋体" w:cs="宋体"/>
          <w:color w:val="auto"/>
          <w:kern w:val="0"/>
          <w:highlight w:val="none"/>
          <w:lang w:bidi="ar"/>
        </w:rPr>
        <w:t>符合专业条件的供应商或者对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作实质响应的供应商不足三家的；</w:t>
      </w:r>
    </w:p>
    <w:p w14:paraId="3ADDE2F8">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B3.2</w:t>
      </w:r>
      <w:r>
        <w:rPr>
          <w:rFonts w:hint="eastAsia" w:ascii="宋体" w:hAnsi="宋体" w:eastAsia="宋体" w:cs="宋体"/>
          <w:color w:val="auto"/>
          <w:kern w:val="0"/>
          <w:highlight w:val="none"/>
          <w:lang w:bidi="ar"/>
        </w:rPr>
        <w:t>出现影响采购公正的违法、违规行为的；</w:t>
      </w:r>
    </w:p>
    <w:p w14:paraId="084F8482">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B3.3</w:t>
      </w:r>
      <w:r>
        <w:rPr>
          <w:rFonts w:hint="eastAsia" w:ascii="宋体" w:hAnsi="宋体" w:eastAsia="宋体" w:cs="宋体"/>
          <w:color w:val="auto"/>
          <w:kern w:val="0"/>
          <w:highlight w:val="none"/>
          <w:lang w:bidi="ar"/>
        </w:rPr>
        <w:t>供应商的报价均超过了采购预算，采购人不能支付的；</w:t>
      </w:r>
    </w:p>
    <w:p w14:paraId="2CEE6E57">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B3.4</w:t>
      </w:r>
      <w:r>
        <w:rPr>
          <w:rFonts w:hint="eastAsia" w:ascii="宋体" w:hAnsi="宋体" w:eastAsia="宋体" w:cs="宋体"/>
          <w:color w:val="auto"/>
          <w:kern w:val="0"/>
          <w:highlight w:val="none"/>
          <w:lang w:bidi="ar"/>
        </w:rPr>
        <w:t>因重大变故，采购任务取消的；</w:t>
      </w:r>
    </w:p>
    <w:p w14:paraId="1827D07F">
      <w:pPr>
        <w:widowControl/>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B3.5</w:t>
      </w:r>
      <w:r>
        <w:rPr>
          <w:rFonts w:hint="eastAsia" w:ascii="宋体" w:hAnsi="宋体" w:eastAsia="宋体" w:cs="宋体"/>
          <w:color w:val="auto"/>
          <w:kern w:val="0"/>
          <w:highlight w:val="none"/>
          <w:lang w:bidi="ar"/>
        </w:rPr>
        <w:t>符合有关法律法规规定的其他废标条件的。</w:t>
      </w:r>
    </w:p>
    <w:p w14:paraId="12FAAC0D">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备注：评标委员会判定为废标的响应文件，应附废标情况说明，并在评审结果告知时，向供应商公布。未在此处集中表述的和</w:t>
      </w:r>
      <w:r>
        <w:rPr>
          <w:rFonts w:hint="eastAsia" w:ascii="宋体" w:hAnsi="宋体" w:eastAsia="宋体" w:cs="宋体"/>
          <w:b/>
          <w:bCs/>
          <w:color w:val="auto"/>
          <w:kern w:val="0"/>
          <w:highlight w:val="none"/>
          <w:lang w:eastAsia="zh-CN" w:bidi="ar"/>
        </w:rPr>
        <w:t>谈判采购</w:t>
      </w:r>
      <w:r>
        <w:rPr>
          <w:rFonts w:hint="eastAsia" w:ascii="宋体" w:hAnsi="宋体" w:eastAsia="宋体" w:cs="宋体"/>
          <w:b/>
          <w:bCs/>
          <w:color w:val="auto"/>
          <w:kern w:val="0"/>
          <w:highlight w:val="none"/>
          <w:lang w:bidi="ar"/>
        </w:rPr>
        <w:t>中明确的其它无效标情况，评标委员会不得作为界定废标的依据。</w:t>
      </w:r>
    </w:p>
    <w:p w14:paraId="643CCB55">
      <w:pPr>
        <w:ind w:firstLine="0" w:firstLineChars="0"/>
        <w:jc w:val="center"/>
        <w:rPr>
          <w:rFonts w:hint="eastAsia" w:ascii="宋体" w:hAnsi="宋体" w:eastAsia="宋体" w:cs="宋体"/>
          <w:b/>
          <w:bCs/>
          <w:color w:val="auto"/>
          <w:kern w:val="0"/>
          <w:sz w:val="31"/>
          <w:szCs w:val="31"/>
          <w:highlight w:val="none"/>
          <w:lang w:bidi="ar"/>
        </w:rPr>
      </w:pPr>
      <w:bookmarkStart w:id="15" w:name="_Toc28753"/>
    </w:p>
    <w:p w14:paraId="4A38D6E9">
      <w:pPr>
        <w:ind w:firstLine="0" w:firstLineChars="0"/>
        <w:jc w:val="center"/>
        <w:rPr>
          <w:rFonts w:hint="eastAsia" w:ascii="宋体" w:hAnsi="宋体" w:eastAsia="宋体" w:cs="宋体"/>
          <w:b/>
          <w:bCs/>
          <w:color w:val="auto"/>
          <w:kern w:val="0"/>
          <w:sz w:val="31"/>
          <w:szCs w:val="31"/>
          <w:highlight w:val="none"/>
          <w:lang w:bidi="ar"/>
        </w:rPr>
      </w:pPr>
    </w:p>
    <w:p w14:paraId="5C12ACF7">
      <w:pPr>
        <w:ind w:firstLine="0" w:firstLineChars="0"/>
        <w:jc w:val="center"/>
        <w:rPr>
          <w:rFonts w:hint="eastAsia" w:ascii="宋体" w:hAnsi="宋体" w:eastAsia="宋体" w:cs="宋体"/>
          <w:b/>
          <w:bCs/>
          <w:color w:val="auto"/>
          <w:kern w:val="0"/>
          <w:sz w:val="31"/>
          <w:szCs w:val="31"/>
          <w:highlight w:val="none"/>
          <w:lang w:bidi="ar"/>
        </w:rPr>
      </w:pPr>
    </w:p>
    <w:p w14:paraId="169754C2">
      <w:pPr>
        <w:ind w:firstLine="0" w:firstLineChars="0"/>
        <w:jc w:val="center"/>
        <w:rPr>
          <w:rFonts w:hint="eastAsia" w:ascii="宋体" w:hAnsi="宋体" w:eastAsia="宋体" w:cs="宋体"/>
          <w:b/>
          <w:bCs/>
          <w:color w:val="auto"/>
          <w:kern w:val="0"/>
          <w:sz w:val="31"/>
          <w:szCs w:val="31"/>
          <w:highlight w:val="none"/>
          <w:lang w:bidi="ar"/>
        </w:rPr>
      </w:pPr>
    </w:p>
    <w:p w14:paraId="5E8251A5">
      <w:pPr>
        <w:ind w:firstLine="0" w:firstLineChars="0"/>
        <w:jc w:val="center"/>
        <w:rPr>
          <w:rFonts w:hint="eastAsia" w:ascii="宋体" w:hAnsi="宋体" w:eastAsia="宋体" w:cs="宋体"/>
          <w:b/>
          <w:bCs/>
          <w:color w:val="auto"/>
          <w:kern w:val="0"/>
          <w:sz w:val="31"/>
          <w:szCs w:val="31"/>
          <w:highlight w:val="none"/>
          <w:lang w:bidi="ar"/>
        </w:rPr>
      </w:pPr>
    </w:p>
    <w:p w14:paraId="3760B490">
      <w:pPr>
        <w:ind w:firstLine="0" w:firstLineChars="0"/>
        <w:jc w:val="center"/>
        <w:rPr>
          <w:rFonts w:hint="eastAsia" w:ascii="宋体" w:hAnsi="宋体" w:eastAsia="宋体" w:cs="宋体"/>
          <w:b/>
          <w:bCs/>
          <w:color w:val="auto"/>
          <w:kern w:val="0"/>
          <w:sz w:val="31"/>
          <w:szCs w:val="31"/>
          <w:highlight w:val="none"/>
          <w:lang w:bidi="ar"/>
        </w:rPr>
      </w:pPr>
    </w:p>
    <w:p w14:paraId="0082AB9C">
      <w:pPr>
        <w:ind w:firstLine="0" w:firstLineChars="0"/>
        <w:jc w:val="center"/>
        <w:rPr>
          <w:rFonts w:hint="eastAsia" w:ascii="宋体" w:hAnsi="宋体" w:eastAsia="宋体" w:cs="宋体"/>
          <w:b/>
          <w:bCs/>
          <w:color w:val="auto"/>
          <w:kern w:val="0"/>
          <w:sz w:val="31"/>
          <w:szCs w:val="31"/>
          <w:highlight w:val="none"/>
          <w:lang w:bidi="ar"/>
        </w:rPr>
      </w:pPr>
    </w:p>
    <w:p w14:paraId="35531A9F">
      <w:pPr>
        <w:ind w:firstLine="0" w:firstLineChars="0"/>
        <w:jc w:val="center"/>
        <w:rPr>
          <w:rFonts w:hint="eastAsia" w:ascii="宋体" w:hAnsi="宋体" w:eastAsia="宋体" w:cs="宋体"/>
          <w:b/>
          <w:bCs/>
          <w:color w:val="auto"/>
          <w:kern w:val="0"/>
          <w:sz w:val="31"/>
          <w:szCs w:val="31"/>
          <w:highlight w:val="none"/>
          <w:lang w:bidi="ar"/>
        </w:rPr>
      </w:pPr>
    </w:p>
    <w:p w14:paraId="61F8C8B6">
      <w:pPr>
        <w:ind w:firstLine="0" w:firstLineChars="0"/>
        <w:jc w:val="center"/>
        <w:rPr>
          <w:rFonts w:hint="eastAsia" w:ascii="宋体" w:hAnsi="宋体" w:eastAsia="宋体" w:cs="宋体"/>
          <w:b/>
          <w:bCs/>
          <w:color w:val="auto"/>
          <w:kern w:val="0"/>
          <w:sz w:val="31"/>
          <w:szCs w:val="31"/>
          <w:highlight w:val="none"/>
          <w:lang w:bidi="ar"/>
        </w:rPr>
      </w:pPr>
    </w:p>
    <w:p w14:paraId="681D7491">
      <w:pPr>
        <w:ind w:firstLine="0" w:firstLineChars="0"/>
        <w:jc w:val="center"/>
        <w:rPr>
          <w:rFonts w:hint="eastAsia" w:ascii="宋体" w:hAnsi="宋体" w:eastAsia="宋体" w:cs="宋体"/>
          <w:b/>
          <w:bCs/>
          <w:color w:val="auto"/>
          <w:kern w:val="0"/>
          <w:sz w:val="31"/>
          <w:szCs w:val="31"/>
          <w:highlight w:val="none"/>
          <w:lang w:bidi="ar"/>
        </w:rPr>
      </w:pPr>
    </w:p>
    <w:p w14:paraId="3AE3EB38">
      <w:pPr>
        <w:ind w:firstLine="0" w:firstLineChars="0"/>
        <w:jc w:val="center"/>
        <w:rPr>
          <w:rFonts w:hint="eastAsia" w:ascii="宋体" w:hAnsi="宋体" w:eastAsia="宋体" w:cs="宋体"/>
          <w:b/>
          <w:bCs/>
          <w:color w:val="auto"/>
          <w:kern w:val="0"/>
          <w:sz w:val="31"/>
          <w:szCs w:val="31"/>
          <w:highlight w:val="none"/>
          <w:lang w:bidi="ar"/>
        </w:rPr>
      </w:pPr>
    </w:p>
    <w:p w14:paraId="4CA802ED">
      <w:pPr>
        <w:ind w:firstLine="0" w:firstLineChars="0"/>
        <w:jc w:val="center"/>
        <w:rPr>
          <w:rFonts w:hint="eastAsia" w:ascii="宋体" w:hAnsi="宋体" w:eastAsia="宋体" w:cs="宋体"/>
          <w:b/>
          <w:bCs/>
          <w:color w:val="auto"/>
          <w:kern w:val="0"/>
          <w:sz w:val="31"/>
          <w:szCs w:val="31"/>
          <w:highlight w:val="none"/>
          <w:lang w:bidi="ar"/>
        </w:rPr>
      </w:pPr>
    </w:p>
    <w:p w14:paraId="3184EBB9">
      <w:pPr>
        <w:ind w:firstLine="0" w:firstLineChars="0"/>
        <w:jc w:val="center"/>
        <w:rPr>
          <w:rFonts w:hint="eastAsia" w:ascii="宋体" w:hAnsi="宋体" w:eastAsia="宋体" w:cs="宋体"/>
          <w:b/>
          <w:bCs/>
          <w:color w:val="auto"/>
          <w:kern w:val="0"/>
          <w:sz w:val="31"/>
          <w:szCs w:val="31"/>
          <w:highlight w:val="none"/>
          <w:lang w:bidi="ar"/>
        </w:rPr>
      </w:pPr>
    </w:p>
    <w:p w14:paraId="77264F9B">
      <w:pPr>
        <w:ind w:firstLine="0" w:firstLineChars="0"/>
        <w:jc w:val="center"/>
        <w:rPr>
          <w:rFonts w:hint="eastAsia" w:ascii="宋体" w:hAnsi="宋体" w:eastAsia="宋体" w:cs="宋体"/>
          <w:b/>
          <w:bCs/>
          <w:color w:val="auto"/>
          <w:kern w:val="0"/>
          <w:sz w:val="31"/>
          <w:szCs w:val="31"/>
          <w:highlight w:val="none"/>
          <w:lang w:bidi="ar"/>
        </w:rPr>
      </w:pPr>
    </w:p>
    <w:p w14:paraId="3AE9A1D2">
      <w:pPr>
        <w:ind w:firstLine="0" w:firstLineChars="0"/>
        <w:jc w:val="center"/>
        <w:rPr>
          <w:rFonts w:hint="eastAsia" w:ascii="宋体" w:hAnsi="宋体" w:eastAsia="宋体" w:cs="宋体"/>
          <w:b/>
          <w:bCs/>
          <w:color w:val="auto"/>
          <w:kern w:val="0"/>
          <w:sz w:val="31"/>
          <w:szCs w:val="31"/>
          <w:highlight w:val="none"/>
          <w:lang w:bidi="ar"/>
        </w:rPr>
      </w:pPr>
    </w:p>
    <w:p w14:paraId="2A45A0CE">
      <w:pPr>
        <w:ind w:firstLine="0" w:firstLineChars="0"/>
        <w:jc w:val="center"/>
        <w:rPr>
          <w:rFonts w:hint="eastAsia" w:ascii="宋体" w:hAnsi="宋体" w:eastAsia="宋体" w:cs="宋体"/>
          <w:b/>
          <w:bCs/>
          <w:color w:val="auto"/>
          <w:kern w:val="0"/>
          <w:sz w:val="31"/>
          <w:szCs w:val="31"/>
          <w:highlight w:val="none"/>
          <w:lang w:bidi="ar"/>
        </w:rPr>
      </w:pPr>
    </w:p>
    <w:p w14:paraId="5E9F4995">
      <w:pPr>
        <w:ind w:firstLine="0" w:firstLineChars="0"/>
        <w:jc w:val="center"/>
        <w:rPr>
          <w:rFonts w:hint="eastAsia" w:ascii="宋体" w:hAnsi="宋体" w:eastAsia="宋体" w:cs="宋体"/>
          <w:b/>
          <w:bCs/>
          <w:color w:val="auto"/>
          <w:kern w:val="0"/>
          <w:sz w:val="31"/>
          <w:szCs w:val="31"/>
          <w:highlight w:val="none"/>
          <w:lang w:bidi="ar"/>
        </w:rPr>
      </w:pPr>
    </w:p>
    <w:p w14:paraId="2A29B283">
      <w:pPr>
        <w:ind w:firstLine="0" w:firstLineChars="0"/>
        <w:jc w:val="center"/>
        <w:rPr>
          <w:rFonts w:hint="eastAsia" w:ascii="宋体" w:hAnsi="宋体" w:eastAsia="宋体" w:cs="宋体"/>
          <w:b/>
          <w:bCs/>
          <w:color w:val="auto"/>
          <w:kern w:val="0"/>
          <w:sz w:val="31"/>
          <w:szCs w:val="31"/>
          <w:highlight w:val="none"/>
          <w:lang w:bidi="ar"/>
        </w:rPr>
      </w:pPr>
    </w:p>
    <w:p w14:paraId="47C8A211">
      <w:pPr>
        <w:ind w:firstLine="0" w:firstLineChars="0"/>
        <w:jc w:val="center"/>
        <w:rPr>
          <w:rFonts w:hint="eastAsia" w:ascii="宋体" w:hAnsi="宋体" w:eastAsia="宋体" w:cs="宋体"/>
          <w:b/>
          <w:bCs/>
          <w:color w:val="auto"/>
          <w:kern w:val="0"/>
          <w:sz w:val="31"/>
          <w:szCs w:val="31"/>
          <w:highlight w:val="none"/>
          <w:lang w:bidi="ar"/>
        </w:rPr>
      </w:pPr>
    </w:p>
    <w:p w14:paraId="34C7C9CA">
      <w:pPr>
        <w:spacing w:line="324" w:lineRule="auto"/>
        <w:ind w:right="561" w:firstLine="311" w:firstLineChars="100"/>
        <w:jc w:val="center"/>
        <w:outlineLvl w:val="0"/>
        <w:rPr>
          <w:rFonts w:hint="eastAsia" w:ascii="宋体" w:hAnsi="宋体" w:eastAsia="宋体" w:cs="宋体"/>
          <w:b/>
          <w:bCs/>
          <w:color w:val="auto"/>
          <w:kern w:val="0"/>
          <w:sz w:val="31"/>
          <w:szCs w:val="31"/>
          <w:highlight w:val="none"/>
          <w:lang w:bidi="ar"/>
        </w:rPr>
      </w:pPr>
      <w:bookmarkStart w:id="16" w:name="_Toc5802"/>
      <w:r>
        <w:rPr>
          <w:rFonts w:hint="eastAsia" w:ascii="宋体" w:hAnsi="宋体" w:eastAsia="宋体" w:cs="宋体"/>
          <w:b/>
          <w:bCs/>
          <w:color w:val="auto"/>
          <w:kern w:val="0"/>
          <w:sz w:val="31"/>
          <w:szCs w:val="31"/>
          <w:highlight w:val="none"/>
          <w:lang w:bidi="ar"/>
        </w:rPr>
        <w:t>第四章 合同条款及格式</w:t>
      </w:r>
      <w:bookmarkEnd w:id="15"/>
      <w:bookmarkEnd w:id="16"/>
    </w:p>
    <w:p w14:paraId="14312696">
      <w:pPr>
        <w:ind w:firstLine="0" w:firstLineChars="0"/>
        <w:jc w:val="center"/>
        <w:rPr>
          <w:rFonts w:hint="eastAsia" w:ascii="宋体" w:hAnsi="宋体" w:eastAsia="宋体" w:cs="宋体"/>
          <w:color w:val="auto"/>
          <w:highlight w:val="none"/>
        </w:rPr>
        <w:sectPr>
          <w:footerReference r:id="rId7" w:type="default"/>
          <w:pgSz w:w="11905" w:h="16838"/>
          <w:pgMar w:top="1417" w:right="1417" w:bottom="1417" w:left="1417" w:header="720" w:footer="720" w:gutter="0"/>
          <w:pgNumType w:start="1"/>
          <w:cols w:space="720" w:num="1"/>
          <w:docGrid w:linePitch="285" w:charSpace="0"/>
        </w:sectPr>
      </w:pPr>
      <w:r>
        <w:rPr>
          <w:rFonts w:hint="eastAsia" w:ascii="宋体" w:hAnsi="宋体" w:eastAsia="宋体" w:cs="宋体"/>
          <w:b/>
          <w:bCs/>
          <w:color w:val="auto"/>
          <w:kern w:val="0"/>
          <w:sz w:val="31"/>
          <w:szCs w:val="31"/>
          <w:highlight w:val="none"/>
          <w:lang w:bidi="ar"/>
        </w:rPr>
        <w:t xml:space="preserve">（合同仅供参考，具体以实际签订合同为准） </w:t>
      </w:r>
      <w:bookmarkEnd w:id="9"/>
      <w:bookmarkEnd w:id="10"/>
      <w:bookmarkEnd w:id="11"/>
      <w:bookmarkStart w:id="17" w:name="_Toc14707"/>
    </w:p>
    <w:bookmarkEnd w:id="17"/>
    <w:p w14:paraId="458744C1">
      <w:pPr>
        <w:widowControl/>
        <w:numPr>
          <w:ilvl w:val="0"/>
          <w:numId w:val="2"/>
        </w:numPr>
        <w:tabs>
          <w:tab w:val="left" w:pos="4170"/>
        </w:tabs>
        <w:spacing w:line="240" w:lineRule="auto"/>
        <w:ind w:left="0" w:leftChars="0" w:firstLine="0" w:firstLineChars="0"/>
        <w:jc w:val="center"/>
        <w:outlineLvl w:val="0"/>
        <w:rPr>
          <w:rFonts w:hint="eastAsia" w:ascii="宋体" w:hAnsi="宋体" w:eastAsia="宋体" w:cs="宋体"/>
          <w:b/>
          <w:bCs/>
          <w:color w:val="auto"/>
          <w:kern w:val="0"/>
          <w:sz w:val="31"/>
          <w:szCs w:val="31"/>
          <w:highlight w:val="none"/>
          <w:lang w:bidi="ar"/>
        </w:rPr>
      </w:pPr>
      <w:bookmarkStart w:id="18" w:name="_Toc1090"/>
      <w:r>
        <w:rPr>
          <w:rFonts w:hint="eastAsia" w:ascii="宋体" w:hAnsi="宋体" w:eastAsia="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bidi="ar"/>
        </w:rPr>
        <w:t>采购内容及要求</w:t>
      </w:r>
      <w:bookmarkEnd w:id="18"/>
    </w:p>
    <w:p w14:paraId="621914FF">
      <w:pPr>
        <w:widowControl/>
        <w:ind w:left="0" w:leftChars="0" w:firstLine="482" w:firstLineChars="200"/>
        <w:rPr>
          <w:rFonts w:hint="default"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bidi="ar"/>
        </w:rPr>
        <w:t>一、采购内容</w:t>
      </w:r>
      <w:bookmarkStart w:id="19" w:name="_Toc407182664"/>
      <w:bookmarkStart w:id="20" w:name="_Toc21051"/>
    </w:p>
    <w:p w14:paraId="7B2656A1">
      <w:pPr>
        <w:widowControl/>
        <w:numPr>
          <w:ilvl w:val="0"/>
          <w:numId w:val="0"/>
        </w:numPr>
        <w:ind w:firstLine="482" w:firstLineChars="200"/>
        <w:rPr>
          <w:rFonts w:hint="default" w:ascii="宋体" w:hAnsi="宋体" w:eastAsia="宋体" w:cs="宋体"/>
          <w:b/>
          <w:bCs/>
          <w:color w:val="auto"/>
          <w:highlight w:val="none"/>
          <w:u w:val="none"/>
          <w:shd w:val="clear" w:color="auto" w:fill="FFFFFF"/>
          <w:lang w:val="en-US" w:eastAsia="zh-CN"/>
        </w:rPr>
      </w:pPr>
      <w:r>
        <w:rPr>
          <w:rFonts w:hint="eastAsia" w:ascii="宋体" w:hAnsi="宋体" w:eastAsia="宋体" w:cs="宋体"/>
          <w:b/>
          <w:bCs/>
          <w:color w:val="auto"/>
          <w:highlight w:val="none"/>
          <w:u w:val="none"/>
          <w:shd w:val="clear" w:color="auto" w:fill="FFFFFF"/>
          <w:lang w:eastAsia="zh-CN"/>
        </w:rPr>
        <w:t>仁怀市中枢第四小学改扩建项目弱电工程专业分包采购</w:t>
      </w:r>
    </w:p>
    <w:p w14:paraId="24F61FCD">
      <w:pPr>
        <w:widowControl/>
        <w:numPr>
          <w:ilvl w:val="0"/>
          <w:numId w:val="3"/>
        </w:numPr>
        <w:ind w:firstLine="482" w:firstLineChars="200"/>
        <w:rPr>
          <w:rFonts w:hint="eastAsia"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val="en-US" w:eastAsia="zh-CN" w:bidi="ar"/>
        </w:rPr>
        <w:t>采购清单及限价</w:t>
      </w:r>
    </w:p>
    <w:tbl>
      <w:tblPr>
        <w:tblStyle w:val="12"/>
        <w:tblW w:w="140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1309"/>
        <w:gridCol w:w="1147"/>
        <w:gridCol w:w="2074"/>
        <w:gridCol w:w="2157"/>
        <w:gridCol w:w="2085"/>
        <w:gridCol w:w="4285"/>
      </w:tblGrid>
      <w:tr w14:paraId="3EA2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blHead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DC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09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细目名称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6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57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工程量（暂定）</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5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不含税单价（元）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32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不含税合价（元）</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8A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清单包括施工内容</w:t>
            </w:r>
          </w:p>
        </w:tc>
      </w:tr>
      <w:tr w14:paraId="54BA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8"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E8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D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E7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9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DB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161.51</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BB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1.名称:刚性阻燃管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2.材质:PC/PVC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3.规格:外径20mm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4.配置形式:砖、混凝土结构暗配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5.工作内容:包含管道、管件及管卡安装。测位、划线、锯管、套丝、锯管、煨弯、配管、接地、穿引线、敷设、压接地线、接短管等除了甲供材的所有辅材采购。</w:t>
            </w:r>
          </w:p>
        </w:tc>
      </w:tr>
      <w:tr w14:paraId="06D1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2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C8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F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95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21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28.61</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0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CAT6UTP双绞线缆:包含线缆接头制作安装开盘、检查、架线盘、敷设、锯断、排列、整理、固定、配合试验、收盘、临时封头、挂牌、线缆敷设、辅助设施安装及拆除、接续测试、接头等，含所有材料费用。</w:t>
            </w:r>
          </w:p>
        </w:tc>
      </w:tr>
      <w:tr w14:paraId="62B9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86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9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CD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D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E9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6A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44.75</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47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CAT5UTP双绞线缆:包含线缆接头制作安装开盘、检查、架线盘、敷设、锯断、排列、整理、固定、配合试验、收盘、临时封头、挂牌、线缆敷设、辅助设施安装及拆除、接续测试、接头等，含所有材料费用。</w:t>
            </w:r>
          </w:p>
        </w:tc>
      </w:tr>
      <w:tr w14:paraId="1A2F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80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DF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78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D0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7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7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2D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4.工作内容:开箱检查、测位、划线、打眼、固定吊钩、接焊线包头、接线、调试.</w:t>
            </w:r>
          </w:p>
        </w:tc>
      </w:tr>
      <w:tr w14:paraId="3855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3A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1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凿（压）槽</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18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75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2C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A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59.85</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3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1.名称:剔槽70*70mm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2.填充(恢复)方式:水泥砂浆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3.工作内容:不分规格、大小、综合考虑。包含测位、划线、定位、开槽及恢复，修边、清理、防裂、修补、抹灰、找平、埋螺钉、线槽安装等，含所有材料费用。</w:t>
            </w:r>
          </w:p>
        </w:tc>
      </w:tr>
      <w:tr w14:paraId="6292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F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4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62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4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478.98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54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CC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44339.18</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2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1.型号:200*100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00C1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ED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7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22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7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25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3852.36</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3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1.型号:300*100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3965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5A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77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设备支架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5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1A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762.18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C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8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11768.06</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A1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2.形式:刷油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05E1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D2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9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C0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3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2485.47</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64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CB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24780.14</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4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1.名称:刚性阻燃管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3.配置形式:砖、混凝土结构暗配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4.工作内容:包含管道、管件及管卡安装。测位、划线、锯管、套丝、锯管、煨弯、配管、接地、穿引线、敷设、压接地线、接短管等除了甲供材的所有辅材采购。</w:t>
            </w:r>
          </w:p>
        </w:tc>
      </w:tr>
      <w:tr w14:paraId="35F9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86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9C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DB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0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3050.66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01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3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9865.53</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3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2芯光缆:包含光缆水晶接头制作安装开盘、检查、架线盘、锯断、排列、整理、固定、配合试验、收盘、临时封头、挂牌、光缆敷设、辅助设施安装及拆除、光缆接续及测试、水晶接头等，含所有材料费用。</w:t>
            </w:r>
          </w:p>
        </w:tc>
      </w:tr>
      <w:tr w14:paraId="4840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4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D9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46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2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2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2252.05</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80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24芯光缆:包含光缆水晶接头制作安装开盘、检查、架线盘、锯断、排列、整理、固定、配合试验、收盘、临时封头、挂牌、光缆敷设、辅助设施安装及拆除、光缆接续及测试、水晶接头等，含所有材料费用。</w:t>
            </w:r>
          </w:p>
        </w:tc>
      </w:tr>
      <w:tr w14:paraId="1FE6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F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0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2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13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965.86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D5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39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3673.46</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31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CAT6UTP双绞线缆:包含线缆接头制作安装开盘、检查、架线盘、敷设、锯断、排列、整理、固定、配合试验、收盘、临时封头、挂牌、线缆敷设、辅助设施安装及拆除、接续测试、接头等，含所有材料费用。</w:t>
            </w:r>
          </w:p>
        </w:tc>
      </w:tr>
      <w:tr w14:paraId="77DE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A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9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0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2579.61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5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83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8907.14</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0F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CAT5UTP双绞线缆:包含线缆接头制作安装开盘、检查、架线盘、敷设、锯断、排列、整理、固定、配合试验、收盘、临时封头、挂牌、线缆敷设、辅助设施安装及拆除、接续测试、接头等，含所有材料费用。</w:t>
            </w:r>
          </w:p>
        </w:tc>
      </w:tr>
      <w:tr w14:paraId="499B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9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CE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1425.86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D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8A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10298.70</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E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ZR-RVV2*2.5双绞线缆:包含线缆接头制作安装开盘、检查、架线盘、敷设、锯断、排列、整理、固定、配合试验、收盘、临时封头、挂牌、线缆敷设、辅助设施安装及拆除、接续测试、接头等，含所有材料费用。</w:t>
            </w:r>
          </w:p>
        </w:tc>
      </w:tr>
      <w:tr w14:paraId="5FA6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9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DE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5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F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6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76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1115.10</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D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4.工作内容:开箱检查、测位、划线、打眼、固定吊钩、接焊线包头、接线、调试.</w:t>
            </w:r>
          </w:p>
        </w:tc>
      </w:tr>
      <w:tr w14:paraId="5D0B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9F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E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凿（压）槽</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5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2C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521.90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84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4B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3470.64</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1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1.名称:剔槽70*70mm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2.填充(恢复)方式:水泥砂浆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3.工作内容:不分规格、大小、综合考虑。包含测位、划线、定位、开槽及恢复，修边、清理、防裂、修补、抹灰、找平、埋螺钉、线槽安装等，含所有材料费用。</w:t>
            </w:r>
          </w:p>
        </w:tc>
      </w:tr>
      <w:tr w14:paraId="7A82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E0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68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D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47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13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1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14031.76</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07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1.型号:200*100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3564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F4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2C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设备支架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6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F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285.72</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5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51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4411.52</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99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2.形式:刷油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4C11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26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76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A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5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5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10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6267.14</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4C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1.名称:刚性阻燃管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3.配置形式:砖、混凝土结构暗配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4.工作内容:包含管道、管件及管卡安装。测位、划线、锯管、套丝、锯管、煨弯、配管、接地、穿引线、敷设、压接地线、接短管等除了甲供材的所有辅材采购。</w:t>
            </w:r>
          </w:p>
        </w:tc>
      </w:tr>
      <w:tr w14:paraId="2CC8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1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A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8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33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1019.26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1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AF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3521.95</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D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2芯光缆:包含光缆水晶接头制作安装开盘、检查、架线盘、锯断、排列、整理、固定、配合试验、收盘、临时封头、挂牌、光缆敷设、辅助设施安装及拆除、光缆接续及测试、水晶接头等，含所有材料费用。</w:t>
            </w:r>
          </w:p>
        </w:tc>
      </w:tr>
      <w:tr w14:paraId="40FB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F8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9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2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CA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0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B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1540.03</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30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24芯光缆:包含光缆水晶接头制作安装开盘、检查、架线盘、锯断、排列、整理、固定、配合试验、收盘、临时封头、挂牌、光缆敷设、辅助设施安装及拆除、光缆接续及测试、水晶接头等，含所有材料费用。</w:t>
            </w:r>
          </w:p>
        </w:tc>
      </w:tr>
      <w:tr w14:paraId="461F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25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3D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80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3E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271.61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3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D4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1033.01</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E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CAT6UTP双绞线缆:包含线缆接头制作安装开盘、检查、架线盘、敷设、锯断、排列、整理、固定、配合试验、收盘、临时封头、挂牌、线缆敷设、辅助设施安装及拆除、接续测试、接头等，含所有材料费用。</w:t>
            </w:r>
          </w:p>
        </w:tc>
      </w:tr>
      <w:tr w14:paraId="37E2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2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D8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E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1C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7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2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2590.54</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5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CAT5UTP双绞线缆:包含线缆接头制作安装开盘、检查、架线盘、敷设、锯断、排列、整理、固定、配合试验、收盘、临时封头、挂牌、线缆敷设、辅助设施安装及拆除、接续测试、接头等，含所有材料费用。</w:t>
            </w:r>
          </w:p>
        </w:tc>
      </w:tr>
      <w:tr w14:paraId="74D7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3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4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78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9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43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8B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247.80</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6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4.工作内容:开箱检查、测位、划线、打眼、固定吊钩、接焊线包头、接线、调试，含所有材料费用。</w:t>
            </w:r>
          </w:p>
        </w:tc>
      </w:tr>
      <w:tr w14:paraId="3663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3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3B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凿（压）槽</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DE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D2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6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16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1506.23</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A8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1.名称:剔槽70*70mm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2.填充(恢复)方式:水泥砂浆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3.工作内容:不分规格、大小、综合考虑。包含测位、划线、定位、开槽及恢复，修边、清理、防裂、修补、抹灰、找平、埋螺钉、线槽安装等，含所有材料费用。</w:t>
            </w:r>
          </w:p>
        </w:tc>
      </w:tr>
      <w:tr w14:paraId="1EE3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4662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D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159772.96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377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bl>
    <w:p w14:paraId="39141AB3">
      <w:pPr>
        <w:widowControl/>
        <w:numPr>
          <w:ilvl w:val="0"/>
          <w:numId w:val="0"/>
        </w:numPr>
        <w:jc w:val="center"/>
        <w:rPr>
          <w:rFonts w:hint="eastAsia" w:ascii="宋体" w:hAnsi="宋体" w:eastAsia="宋体" w:cs="宋体"/>
          <w:b/>
          <w:bCs/>
          <w:color w:val="auto"/>
          <w:kern w:val="0"/>
          <w:highlight w:val="none"/>
          <w:lang w:val="en-US" w:eastAsia="zh-CN" w:bidi="ar"/>
        </w:rPr>
      </w:pPr>
    </w:p>
    <w:p w14:paraId="1160996C">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default"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eastAsia="zh-CN" w:bidi="ar"/>
        </w:rPr>
        <w:t>三</w:t>
      </w:r>
      <w:r>
        <w:rPr>
          <w:rFonts w:hint="eastAsia" w:ascii="宋体" w:hAnsi="宋体" w:eastAsia="宋体" w:cs="宋体"/>
          <w:b/>
          <w:bCs/>
          <w:color w:val="auto"/>
          <w:kern w:val="0"/>
          <w:highlight w:val="none"/>
          <w:lang w:bidi="ar"/>
        </w:rPr>
        <w:t>、商务要求</w:t>
      </w:r>
      <w:r>
        <w:rPr>
          <w:rFonts w:hint="eastAsia" w:ascii="宋体" w:hAnsi="宋体" w:eastAsia="宋体" w:cs="宋体"/>
          <w:b/>
          <w:bCs/>
          <w:color w:val="auto"/>
          <w:kern w:val="0"/>
          <w:highlight w:val="none"/>
          <w:lang w:eastAsia="zh-CN" w:bidi="ar"/>
        </w:rPr>
        <w:t>（</w:t>
      </w:r>
      <w:r>
        <w:rPr>
          <w:rFonts w:hint="eastAsia" w:ascii="宋体" w:hAnsi="宋体" w:eastAsia="宋体" w:cs="宋体"/>
          <w:b/>
          <w:bCs/>
          <w:color w:val="auto"/>
          <w:kern w:val="0"/>
          <w:highlight w:val="none"/>
          <w:lang w:val="en-US" w:eastAsia="zh-CN" w:bidi="ar"/>
        </w:rPr>
        <w:t>逐条响应）</w:t>
      </w:r>
    </w:p>
    <w:bookmarkEnd w:id="19"/>
    <w:bookmarkEnd w:id="20"/>
    <w:p w14:paraId="44274C6C">
      <w:pPr>
        <w:widowControl/>
        <w:ind w:firstLine="480"/>
        <w:rPr>
          <w:rFonts w:hint="eastAsia" w:ascii="宋体" w:hAnsi="宋体" w:eastAsia="宋体" w:cs="宋体"/>
          <w:color w:val="auto"/>
          <w:highlight w:val="none"/>
        </w:rPr>
      </w:pPr>
      <w:bookmarkStart w:id="21" w:name="_Toc407182688"/>
      <w:bookmarkStart w:id="22" w:name="_Toc12228"/>
      <w:bookmarkStart w:id="23" w:name="_Toc407169896"/>
      <w:bookmarkStart w:id="24" w:name="_Toc5370"/>
      <w:r>
        <w:rPr>
          <w:rFonts w:hint="eastAsia" w:ascii="宋体" w:hAnsi="宋体" w:eastAsia="宋体" w:cs="宋体"/>
          <w:color w:val="auto"/>
          <w:kern w:val="0"/>
          <w:highlight w:val="none"/>
          <w:lang w:bidi="ar"/>
        </w:rPr>
        <w:t>1.合同类型：</w:t>
      </w:r>
      <w:r>
        <w:rPr>
          <w:rFonts w:hint="eastAsia" w:ascii="宋体" w:hAnsi="宋体" w:eastAsia="宋体" w:cs="宋体"/>
          <w:color w:val="auto"/>
          <w:kern w:val="0"/>
          <w:highlight w:val="none"/>
          <w:lang w:eastAsia="zh-CN" w:bidi="ar"/>
        </w:rPr>
        <w:t>单</w:t>
      </w:r>
      <w:r>
        <w:rPr>
          <w:rFonts w:hint="eastAsia" w:ascii="宋体" w:hAnsi="宋体" w:eastAsia="宋体" w:cs="宋体"/>
          <w:color w:val="auto"/>
          <w:kern w:val="0"/>
          <w:highlight w:val="none"/>
          <w:lang w:bidi="ar"/>
        </w:rPr>
        <w:t>价合同</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最终以核算工程量据实结算</w:t>
      </w:r>
      <w:r>
        <w:rPr>
          <w:rFonts w:hint="eastAsia" w:ascii="宋体" w:hAnsi="宋体" w:eastAsia="宋体" w:cs="宋体"/>
          <w:color w:val="auto"/>
          <w:kern w:val="0"/>
          <w:highlight w:val="none"/>
          <w:lang w:bidi="ar"/>
        </w:rPr>
        <w:t xml:space="preserve">； </w:t>
      </w:r>
    </w:p>
    <w:p w14:paraId="755C958D">
      <w:pPr>
        <w:widowControl/>
        <w:ind w:firstLine="48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2.合同文件主要条</w:t>
      </w:r>
      <w:r>
        <w:rPr>
          <w:rFonts w:hint="eastAsia" w:ascii="宋体" w:hAnsi="宋体" w:eastAsia="宋体" w:cs="宋体"/>
          <w:color w:val="auto"/>
          <w:kern w:val="0"/>
          <w:highlight w:val="none"/>
          <w:lang w:eastAsia="zh-CN" w:bidi="ar"/>
        </w:rPr>
        <w:t>款</w:t>
      </w:r>
    </w:p>
    <w:p w14:paraId="68730792">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val="en-US" w:eastAsia="zh-CN" w:bidi="ar"/>
        </w:rPr>
        <w:t>工期</w:t>
      </w:r>
      <w:r>
        <w:rPr>
          <w:rFonts w:hint="eastAsia" w:ascii="宋体" w:hAnsi="宋体" w:eastAsia="宋体" w:cs="宋体"/>
          <w:color w:val="auto"/>
          <w:kern w:val="0"/>
          <w:highlight w:val="none"/>
          <w:lang w:bidi="ar"/>
        </w:rPr>
        <w:t>：</w:t>
      </w:r>
      <w:r>
        <w:rPr>
          <w:rFonts w:hint="eastAsia" w:ascii="宋体" w:hAnsi="宋体" w:eastAsia="宋体" w:cs="宋体"/>
          <w:color w:val="auto"/>
          <w:highlight w:val="none"/>
          <w:lang w:val="en-US" w:eastAsia="zh-CN"/>
        </w:rPr>
        <w:t>180日历天</w:t>
      </w:r>
      <w:r>
        <w:rPr>
          <w:rFonts w:hint="eastAsia" w:ascii="宋体" w:hAnsi="宋体" w:eastAsia="宋体" w:cs="宋体"/>
          <w:color w:val="auto"/>
          <w:kern w:val="0"/>
          <w:highlight w:val="none"/>
          <w:lang w:bidi="ar"/>
        </w:rPr>
        <w:t xml:space="preserve">； </w:t>
      </w:r>
    </w:p>
    <w:p w14:paraId="28917878">
      <w:pPr>
        <w:rPr>
          <w:rFonts w:hint="eastAsia" w:ascii="宋体" w:hAnsi="宋体" w:eastAsia="宋体" w:cs="宋体"/>
          <w:color w:val="auto"/>
          <w:kern w:val="0"/>
          <w:highlight w:val="none"/>
          <w:lang w:bidi="ar"/>
        </w:rPr>
      </w:pPr>
      <w:r>
        <w:rPr>
          <w:rFonts w:hint="eastAsia" w:ascii="宋体" w:hAnsi="宋体" w:eastAsia="宋体" w:cs="宋体"/>
          <w:color w:val="auto"/>
          <w:highlight w:val="none"/>
          <w:lang w:val="en-US" w:eastAsia="zh-CN"/>
        </w:rPr>
        <w:t>（3）（服务）质量要求：符合国家、地方及行业现行有关施工质量验收规范标准，符合发包人要求，一次性验收合格。</w:t>
      </w:r>
    </w:p>
    <w:p w14:paraId="386DB81C">
      <w:pPr>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（2）服务地点：</w:t>
      </w:r>
      <w:r>
        <w:rPr>
          <w:rFonts w:hint="eastAsia" w:ascii="宋体" w:hAnsi="宋体" w:eastAsia="宋体" w:cs="宋体"/>
          <w:color w:val="auto"/>
          <w:kern w:val="0"/>
          <w:highlight w:val="none"/>
          <w:lang w:eastAsia="zh-CN" w:bidi="ar"/>
        </w:rPr>
        <w:t>采购人指定地点</w:t>
      </w:r>
      <w:r>
        <w:rPr>
          <w:rFonts w:hint="eastAsia" w:ascii="宋体" w:hAnsi="宋体" w:eastAsia="宋体" w:cs="宋体"/>
          <w:color w:val="auto"/>
          <w:kern w:val="0"/>
          <w:highlight w:val="none"/>
          <w:lang w:bidi="ar"/>
        </w:rPr>
        <w:t xml:space="preserve">； </w:t>
      </w:r>
    </w:p>
    <w:p w14:paraId="35100FAF">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（4）为确保项目正常施工，采购方可根据项目实际情况新增一家或多家供应商同时供应，供应方必须无条件接受，采购方不承担违约责任。</w:t>
      </w:r>
    </w:p>
    <w:p w14:paraId="50FDBB37">
      <w:pPr>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val="en-US" w:eastAsia="zh-CN" w:bidi="ar"/>
        </w:rPr>
        <w:t>（5）</w:t>
      </w:r>
      <w:r>
        <w:rPr>
          <w:rFonts w:hint="eastAsia" w:ascii="宋体" w:hAnsi="宋体" w:eastAsia="宋体" w:cs="宋体"/>
          <w:color w:val="auto"/>
          <w:kern w:val="0"/>
          <w:highlight w:val="none"/>
          <w:lang w:eastAsia="zh-CN" w:bidi="ar"/>
        </w:rPr>
        <w:t>支付方式：</w:t>
      </w:r>
    </w:p>
    <w:p w14:paraId="67A80757">
      <w:pPr>
        <w:ind w:firstLine="720" w:firstLineChars="300"/>
        <w:rPr>
          <w:rFonts w:hint="eastAsia" w:ascii="宋体" w:hAnsi="宋体" w:eastAsia="宋体" w:cs="宋体"/>
          <w:color w:val="auto"/>
          <w:kern w:val="0"/>
          <w:highlight w:val="none"/>
          <w:lang w:val="en-US" w:eastAsia="zh-CN" w:bidi="ar"/>
        </w:rPr>
      </w:pPr>
      <w:r>
        <w:rPr>
          <w:rFonts w:hint="default" w:ascii="宋体" w:hAnsi="宋体" w:eastAsia="宋体" w:cs="宋体"/>
          <w:color w:val="auto"/>
          <w:kern w:val="0"/>
          <w:highlight w:val="none"/>
          <w:lang w:val="en-US" w:eastAsia="zh-CN" w:bidi="ar"/>
        </w:rPr>
        <w:t>本工程不支付预付款。中期进度款支付方式按阶段进行支付，乙方每月25日前按经甲乙双方签字确认后的工程中期计量支付进度款金额，在扣除应由乙方承担的一切费用后，向甲方提交《付款申请单》。在业主支付甲方对应工程款后，支付乙方经审核完成产值的80%；本工程竣工验收合格且业主支付甲方工程款后，再支付至合同总价款的90%；本工程经业主和甲方共同竣工验收合格后，乙方提供完整结算资料，甲方在业主单位完成对应工程结算并支付甲方工程款后，甲方向乙方支付至最终结算款的97% ，余下3%为工程质量保修金，待缺陷责任期（24个月）满后30天内无息付清</w:t>
      </w:r>
    </w:p>
    <w:p w14:paraId="082715D9">
      <w:pPr>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val="en-US" w:eastAsia="zh-CN" w:bidi="ar"/>
        </w:rPr>
        <w:t>6</w:t>
      </w:r>
      <w:r>
        <w:rPr>
          <w:rFonts w:hint="eastAsia" w:ascii="宋体" w:hAnsi="宋体" w:eastAsia="宋体" w:cs="宋体"/>
          <w:color w:val="auto"/>
          <w:kern w:val="0"/>
          <w:highlight w:val="none"/>
          <w:lang w:bidi="ar"/>
        </w:rPr>
        <w:t>）其他未尽事宜</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具体以合同为准</w:t>
      </w:r>
      <w:r>
        <w:rPr>
          <w:rFonts w:hint="eastAsia" w:ascii="宋体" w:hAnsi="宋体" w:eastAsia="宋体" w:cs="宋体"/>
          <w:color w:val="auto"/>
          <w:kern w:val="0"/>
          <w:highlight w:val="none"/>
          <w:lang w:eastAsia="zh-CN" w:bidi="ar"/>
        </w:rPr>
        <w:t>。</w:t>
      </w:r>
    </w:p>
    <w:p w14:paraId="032D0C00">
      <w:pPr>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7）</w:t>
      </w:r>
      <w:r>
        <w:rPr>
          <w:rFonts w:hint="default" w:ascii="宋体" w:hAnsi="宋体" w:eastAsia="宋体" w:cs="宋体"/>
          <w:color w:val="auto"/>
          <w:kern w:val="0"/>
          <w:highlight w:val="none"/>
          <w:lang w:val="en-US" w:eastAsia="zh-CN" w:bidi="ar"/>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highlight w:val="none"/>
          <w:lang w:val="en-US" w:eastAsia="zh-CN" w:bidi="ar"/>
        </w:rPr>
        <w:t>。</w:t>
      </w:r>
    </w:p>
    <w:p w14:paraId="75609B6D">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（8）响应</w:t>
      </w:r>
      <w:r>
        <w:rPr>
          <w:rFonts w:hint="default" w:ascii="宋体" w:hAnsi="宋体" w:eastAsia="宋体" w:cs="宋体"/>
          <w:color w:val="auto"/>
          <w:kern w:val="0"/>
          <w:sz w:val="24"/>
          <w:szCs w:val="24"/>
          <w:highlight w:val="none"/>
          <w:lang w:val="en-US" w:eastAsia="zh-CN" w:bidi="ar-SA"/>
        </w:rPr>
        <w:t>人需自行核对单价与总价的一致性，中标后若发现报价组成有误（单价存在偏差或合计计算有误），将按单价进行修正，修正规则如下：</w:t>
      </w:r>
    </w:p>
    <w:p w14:paraId="2CB29667">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①若修正后整体合价超过</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总价（即</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函报价），超出部分不计入合同总价，需通过调整分项单价予以修正。</w:t>
      </w:r>
    </w:p>
    <w:p w14:paraId="27845E59">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操作步骤：</w:t>
      </w:r>
    </w:p>
    <w:p w14:paraId="1DF31482">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w:t>
      </w:r>
      <w:r>
        <w:rPr>
          <w:rFonts w:hint="default" w:ascii="宋体" w:hAnsi="宋体" w:eastAsia="宋体" w:cs="宋体"/>
          <w:color w:val="auto"/>
          <w:kern w:val="0"/>
          <w:sz w:val="24"/>
          <w:szCs w:val="24"/>
          <w:highlight w:val="none"/>
          <w:lang w:val="en-US" w:eastAsia="zh-CN" w:bidi="ar-SA"/>
        </w:rPr>
        <w:t>.计算调整系数：调整系数=</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w:t>
      </w:r>
      <w:r>
        <w:rPr>
          <w:rFonts w:hint="eastAsia" w:ascii="宋体" w:hAnsi="宋体" w:eastAsia="宋体" w:cs="宋体"/>
          <w:color w:val="auto"/>
          <w:kern w:val="0"/>
          <w:sz w:val="24"/>
          <w:szCs w:val="24"/>
          <w:highlight w:val="none"/>
          <w:lang w:val="en-US" w:eastAsia="zh-CN" w:bidi="ar-SA"/>
        </w:rPr>
        <w:t>栏标</w:t>
      </w:r>
      <w:r>
        <w:rPr>
          <w:rFonts w:hint="default" w:ascii="宋体" w:hAnsi="宋体" w:eastAsia="宋体" w:cs="宋体"/>
          <w:color w:val="auto"/>
          <w:kern w:val="0"/>
          <w:sz w:val="24"/>
          <w:szCs w:val="24"/>
          <w:highlight w:val="none"/>
          <w:lang w:val="en-US" w:eastAsia="zh-CN" w:bidi="ar-SA"/>
        </w:rPr>
        <w:t>总价（系数&lt;1）</w:t>
      </w:r>
      <w:r>
        <w:rPr>
          <w:rFonts w:hint="eastAsia" w:ascii="宋体" w:hAnsi="宋体" w:eastAsia="宋体" w:cs="宋体"/>
          <w:color w:val="auto"/>
          <w:kern w:val="0"/>
          <w:sz w:val="24"/>
          <w:szCs w:val="24"/>
          <w:highlight w:val="none"/>
          <w:lang w:val="en-US" w:eastAsia="zh-CN" w:bidi="ar-SA"/>
        </w:rPr>
        <w:t>。</w:t>
      </w:r>
    </w:p>
    <w:p w14:paraId="7DE03C1F">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w:t>
      </w:r>
      <w:r>
        <w:rPr>
          <w:rFonts w:hint="default" w:ascii="宋体" w:hAnsi="宋体" w:eastAsia="宋体" w:cs="宋体"/>
          <w:color w:val="auto"/>
          <w:kern w:val="0"/>
          <w:sz w:val="24"/>
          <w:szCs w:val="24"/>
          <w:highlight w:val="none"/>
          <w:lang w:val="en-US" w:eastAsia="zh-CN" w:bidi="ar-SA"/>
        </w:rPr>
        <w:t>.修正后各分项单价=</w:t>
      </w:r>
      <w:r>
        <w:rPr>
          <w:rFonts w:hint="eastAsia" w:ascii="宋体" w:hAnsi="宋体" w:eastAsia="宋体" w:cs="宋体"/>
          <w:color w:val="auto"/>
          <w:kern w:val="0"/>
          <w:sz w:val="24"/>
          <w:szCs w:val="24"/>
          <w:highlight w:val="none"/>
          <w:lang w:val="en-US" w:eastAsia="zh-CN" w:bidi="ar-SA"/>
        </w:rPr>
        <w:t>栏标各项</w:t>
      </w:r>
      <w:r>
        <w:rPr>
          <w:rFonts w:hint="default" w:ascii="宋体" w:hAnsi="宋体" w:eastAsia="宋体" w:cs="宋体"/>
          <w:color w:val="auto"/>
          <w:kern w:val="0"/>
          <w:sz w:val="24"/>
          <w:szCs w:val="24"/>
          <w:highlight w:val="none"/>
          <w:lang w:val="en-US" w:eastAsia="zh-CN" w:bidi="ar-SA"/>
        </w:rPr>
        <w:t>单价×调整系数</w:t>
      </w:r>
      <w:r>
        <w:rPr>
          <w:rFonts w:hint="eastAsia" w:ascii="宋体" w:hAnsi="宋体" w:eastAsia="宋体" w:cs="宋体"/>
          <w:color w:val="auto"/>
          <w:kern w:val="0"/>
          <w:sz w:val="24"/>
          <w:szCs w:val="24"/>
          <w:highlight w:val="none"/>
          <w:lang w:val="en-US" w:eastAsia="zh-CN" w:bidi="ar-SA"/>
        </w:rPr>
        <w:t>。</w:t>
      </w:r>
    </w:p>
    <w:p w14:paraId="58223395">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w:t>
      </w:r>
      <w:r>
        <w:rPr>
          <w:rFonts w:hint="default" w:ascii="宋体" w:hAnsi="宋体" w:eastAsia="宋体" w:cs="宋体"/>
          <w:color w:val="auto"/>
          <w:kern w:val="0"/>
          <w:sz w:val="24"/>
          <w:szCs w:val="24"/>
          <w:highlight w:val="none"/>
          <w:lang w:val="en-US" w:eastAsia="zh-CN" w:bidi="ar-SA"/>
        </w:rPr>
        <w:t>.重新计算合价，确保修正后总价与</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总价一致</w:t>
      </w:r>
      <w:r>
        <w:rPr>
          <w:rFonts w:hint="eastAsia" w:ascii="宋体" w:hAnsi="宋体" w:eastAsia="宋体" w:cs="宋体"/>
          <w:color w:val="auto"/>
          <w:kern w:val="0"/>
          <w:sz w:val="24"/>
          <w:szCs w:val="24"/>
          <w:highlight w:val="none"/>
          <w:lang w:val="en-US" w:eastAsia="zh-CN" w:bidi="ar-SA"/>
        </w:rPr>
        <w:t>。</w:t>
      </w:r>
    </w:p>
    <w:p w14:paraId="0B09911E">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w:t>
      </w:r>
    </w:p>
    <w:p w14:paraId="2ECC909A">
      <w:pPr>
        <w:widowControl/>
        <w:ind w:left="0" w:leftChars="0"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②若修正后整体总价小于</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总价（即</w:t>
      </w:r>
      <w:r>
        <w:rPr>
          <w:rFonts w:hint="eastAsia" w:ascii="宋体" w:hAnsi="宋体" w:eastAsia="宋体" w:cs="宋体"/>
          <w:color w:val="auto"/>
          <w:kern w:val="0"/>
          <w:sz w:val="24"/>
          <w:szCs w:val="24"/>
          <w:highlight w:val="none"/>
          <w:lang w:val="en-US" w:eastAsia="zh-CN" w:bidi="ar-SA"/>
        </w:rPr>
        <w:t>响应</w:t>
      </w:r>
      <w:r>
        <w:rPr>
          <w:rFonts w:hint="default" w:ascii="宋体" w:hAnsi="宋体" w:eastAsia="宋体" w:cs="宋体"/>
          <w:color w:val="auto"/>
          <w:kern w:val="0"/>
          <w:sz w:val="24"/>
          <w:szCs w:val="24"/>
          <w:highlight w:val="none"/>
          <w:lang w:val="en-US" w:eastAsia="zh-CN" w:bidi="ar-SA"/>
        </w:rPr>
        <w:t>函报价），合同签约总价为修正后总价。</w:t>
      </w:r>
    </w:p>
    <w:p w14:paraId="32927640">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（9）安全目标</w:t>
      </w:r>
      <w:r>
        <w:rPr>
          <w:rFonts w:hint="eastAsia" w:ascii="宋体" w:hAnsi="宋体" w:eastAsia="宋体" w:cs="宋体"/>
          <w:color w:val="auto"/>
          <w:kern w:val="0"/>
          <w:sz w:val="24"/>
          <w:szCs w:val="24"/>
          <w:highlight w:val="none"/>
          <w:lang w:val="en-US" w:eastAsia="zh-CN" w:bidi="ar-SA"/>
        </w:rPr>
        <w:t>：杜绝较大以上事故、遏制一般事故、重伤率不超过0.5‰、轻伤率不超过2‰。</w:t>
      </w:r>
    </w:p>
    <w:p w14:paraId="36A2EC45">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0</w:t>
      </w:r>
      <w:r>
        <w:rPr>
          <w:rFonts w:hint="default" w:ascii="宋体" w:hAnsi="宋体" w:eastAsia="宋体" w:cs="宋体"/>
          <w:color w:val="auto"/>
          <w:kern w:val="0"/>
          <w:sz w:val="24"/>
          <w:szCs w:val="24"/>
          <w:highlight w:val="none"/>
          <w:lang w:val="en-US" w:eastAsia="zh-CN" w:bidi="ar-SA"/>
        </w:rPr>
        <w:t>）特别要求：</w:t>
      </w:r>
      <w:r>
        <w:rPr>
          <w:rFonts w:hint="eastAsia" w:ascii="宋体" w:hAnsi="宋体" w:eastAsia="宋体" w:cs="宋体"/>
          <w:color w:val="auto"/>
          <w:kern w:val="0"/>
          <w:sz w:val="24"/>
          <w:szCs w:val="24"/>
          <w:highlight w:val="none"/>
          <w:lang w:val="en-US" w:eastAsia="zh-CN" w:bidi="ar-SA"/>
        </w:rPr>
        <w:t>供应商必须为施工人员购买实名制保险</w:t>
      </w:r>
      <w:r>
        <w:rPr>
          <w:rFonts w:hint="default" w:ascii="宋体" w:hAnsi="宋体" w:eastAsia="宋体" w:cs="宋体"/>
          <w:color w:val="auto"/>
          <w:kern w:val="0"/>
          <w:sz w:val="24"/>
          <w:szCs w:val="24"/>
          <w:highlight w:val="none"/>
          <w:lang w:val="en-US" w:eastAsia="zh-CN" w:bidi="ar-SA"/>
        </w:rPr>
        <w:t>。</w:t>
      </w:r>
    </w:p>
    <w:p w14:paraId="7B85C725">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）成交供应商至少配备1名专职安全员，应根据《建筑施工企业、工程项目安全生产管理机构设置及安全生产管理人员配备办法》 配足专职安全管理人员，若因安全管理人员配置不满足要求，导致的安全责任由成交供应商负责，我司不承担相关责任。（应自行承诺）</w:t>
      </w:r>
    </w:p>
    <w:p w14:paraId="0EF8C9D5">
      <w:pPr>
        <w:widowControl/>
        <w:ind w:left="0" w:leftChars="0" w:firstLine="480" w:firstLineChars="200"/>
        <w:rPr>
          <w:rFonts w:hint="eastAsia" w:ascii="宋体" w:hAnsi="宋体" w:eastAsia="宋体" w:cs="宋体"/>
          <w:color w:val="auto"/>
          <w:kern w:val="0"/>
          <w:highlight w:val="none"/>
          <w:lang w:bidi="ar"/>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供应商所提供的响应文件（包括一切技术资料、技术承诺、商务承诺等）均应真实有效，若在项目采购过程中（包括响应报价、中标公示过程）及履行合同期间（包括验收、使用过程）发现你公司服务与响应文件不一致，提供了不真实的响应文件（虚假材料），我司可以作出取消你司成交资格、罚没保证金等决定，你司不得有异议。</w:t>
      </w:r>
      <w:r>
        <w:rPr>
          <w:rFonts w:hint="eastAsia" w:ascii="宋体" w:hAnsi="宋体" w:eastAsia="宋体" w:cs="宋体"/>
          <w:color w:val="auto"/>
          <w:kern w:val="0"/>
          <w:highlight w:val="none"/>
          <w:lang w:bidi="ar"/>
        </w:rPr>
        <w:br w:type="page"/>
      </w:r>
    </w:p>
    <w:p w14:paraId="37B5C30E">
      <w:pPr>
        <w:ind w:firstLine="0" w:firstLineChars="0"/>
        <w:jc w:val="center"/>
        <w:outlineLvl w:val="0"/>
        <w:rPr>
          <w:rFonts w:hint="eastAsia" w:ascii="宋体" w:hAnsi="宋体" w:eastAsia="宋体" w:cs="宋体"/>
          <w:b/>
          <w:bCs/>
          <w:color w:val="auto"/>
          <w:kern w:val="0"/>
          <w:sz w:val="31"/>
          <w:szCs w:val="31"/>
          <w:highlight w:val="none"/>
          <w:lang w:bidi="ar"/>
        </w:rPr>
        <w:sectPr>
          <w:pgSz w:w="16838" w:h="11905" w:orient="landscape"/>
          <w:pgMar w:top="1417" w:right="1417" w:bottom="1417" w:left="1417" w:header="720" w:footer="720" w:gutter="0"/>
          <w:cols w:space="720" w:num="1"/>
          <w:docGrid w:linePitch="285" w:charSpace="0"/>
        </w:sectPr>
      </w:pPr>
    </w:p>
    <w:p w14:paraId="1117378F">
      <w:pPr>
        <w:ind w:firstLine="0" w:firstLineChars="0"/>
        <w:jc w:val="center"/>
        <w:outlineLvl w:val="0"/>
        <w:rPr>
          <w:rFonts w:hint="eastAsia" w:ascii="宋体" w:hAnsi="宋体" w:eastAsia="宋体" w:cs="宋体"/>
          <w:b/>
          <w:bCs/>
          <w:color w:val="auto"/>
          <w:kern w:val="0"/>
          <w:sz w:val="31"/>
          <w:szCs w:val="31"/>
          <w:highlight w:val="none"/>
          <w:lang w:bidi="ar"/>
        </w:rPr>
      </w:pPr>
      <w:bookmarkStart w:id="25" w:name="_Toc3935"/>
      <w:r>
        <w:rPr>
          <w:rFonts w:hint="eastAsia" w:ascii="宋体" w:hAnsi="宋体" w:eastAsia="宋体" w:cs="宋体"/>
          <w:b/>
          <w:bCs/>
          <w:color w:val="auto"/>
          <w:kern w:val="0"/>
          <w:sz w:val="31"/>
          <w:szCs w:val="31"/>
          <w:highlight w:val="none"/>
          <w:lang w:bidi="ar"/>
        </w:rPr>
        <w:t xml:space="preserve">第六章 </w:t>
      </w:r>
      <w:bookmarkEnd w:id="21"/>
      <w:bookmarkEnd w:id="22"/>
      <w:bookmarkEnd w:id="23"/>
      <w:r>
        <w:rPr>
          <w:rFonts w:hint="eastAsia" w:ascii="宋体" w:hAnsi="宋体" w:eastAsia="宋体" w:cs="宋体"/>
          <w:b/>
          <w:bCs/>
          <w:color w:val="auto"/>
          <w:kern w:val="0"/>
          <w:sz w:val="31"/>
          <w:szCs w:val="31"/>
          <w:highlight w:val="none"/>
          <w:lang w:bidi="ar"/>
        </w:rPr>
        <w:t>响应文件格式</w:t>
      </w:r>
      <w:bookmarkEnd w:id="24"/>
      <w:bookmarkEnd w:id="25"/>
    </w:p>
    <w:p w14:paraId="48DE18E4">
      <w:pPr>
        <w:pStyle w:val="4"/>
        <w:ind w:firstLine="3600" w:firstLineChars="900"/>
        <w:rPr>
          <w:rFonts w:hint="default" w:ascii="宋体" w:hAnsi="宋体" w:eastAsia="宋体" w:cs="宋体"/>
          <w:bCs/>
          <w:color w:val="auto"/>
          <w:sz w:val="40"/>
          <w:szCs w:val="44"/>
          <w:highlight w:val="none"/>
          <w:lang w:val="en-US"/>
        </w:rPr>
      </w:pPr>
      <w:r>
        <w:rPr>
          <w:rFonts w:hint="eastAsia" w:ascii="宋体" w:hAnsi="宋体" w:cs="宋体"/>
          <w:bCs/>
          <w:color w:val="auto"/>
          <w:kern w:val="0"/>
          <w:sz w:val="40"/>
          <w:szCs w:val="44"/>
          <w:highlight w:val="none"/>
          <w:lang w:eastAsia="zh-CN"/>
        </w:rPr>
        <w:t>（</w:t>
      </w:r>
      <w:r>
        <w:rPr>
          <w:rFonts w:hint="eastAsia" w:ascii="宋体" w:hAnsi="宋体" w:cs="宋体"/>
          <w:bCs/>
          <w:color w:val="auto"/>
          <w:kern w:val="0"/>
          <w:sz w:val="40"/>
          <w:szCs w:val="44"/>
          <w:highlight w:val="none"/>
          <w:lang w:val="en-US" w:eastAsia="zh-CN"/>
        </w:rPr>
        <w:t>项目名称）</w:t>
      </w:r>
    </w:p>
    <w:p w14:paraId="51E8683F">
      <w:pPr>
        <w:ind w:firstLine="480"/>
        <w:rPr>
          <w:rFonts w:hint="eastAsia" w:ascii="宋体" w:hAnsi="宋体" w:eastAsia="宋体" w:cs="宋体"/>
          <w:color w:val="auto"/>
          <w:highlight w:val="none"/>
        </w:rPr>
      </w:pPr>
    </w:p>
    <w:p w14:paraId="53F6EFD4">
      <w:pPr>
        <w:spacing w:before="120" w:beforeLines="50" w:after="120" w:afterLines="50" w:line="240" w:lineRule="auto"/>
        <w:ind w:firstLine="0" w:firstLineChars="0"/>
        <w:jc w:val="center"/>
        <w:rPr>
          <w:rFonts w:hint="eastAsia" w:ascii="宋体" w:hAnsi="宋体" w:eastAsia="宋体" w:cs="宋体"/>
          <w:color w:val="auto"/>
          <w:spacing w:val="40"/>
          <w:w w:val="110"/>
          <w:sz w:val="36"/>
          <w:szCs w:val="36"/>
          <w:highlight w:val="none"/>
        </w:rPr>
      </w:pPr>
    </w:p>
    <w:p w14:paraId="2A42CDBD">
      <w:pPr>
        <w:spacing w:before="120" w:beforeLines="50" w:after="120" w:afterLines="50" w:line="240" w:lineRule="auto"/>
        <w:ind w:firstLine="0" w:firstLineChars="0"/>
        <w:jc w:val="center"/>
        <w:rPr>
          <w:rFonts w:hint="eastAsia" w:ascii="宋体" w:hAnsi="宋体" w:eastAsia="宋体" w:cs="宋体"/>
          <w:color w:val="auto"/>
          <w:spacing w:val="40"/>
          <w:w w:val="110"/>
          <w:sz w:val="36"/>
          <w:szCs w:val="36"/>
          <w:highlight w:val="none"/>
        </w:rPr>
      </w:pPr>
    </w:p>
    <w:p w14:paraId="5253D291">
      <w:pPr>
        <w:spacing w:before="120" w:beforeLines="50" w:after="120" w:afterLines="50" w:line="240" w:lineRule="auto"/>
        <w:ind w:firstLine="0" w:firstLineChars="0"/>
        <w:jc w:val="center"/>
        <w:rPr>
          <w:rFonts w:hint="eastAsia" w:ascii="宋体" w:hAnsi="宋体" w:eastAsia="宋体" w:cs="宋体"/>
          <w:color w:val="auto"/>
          <w:spacing w:val="40"/>
          <w:w w:val="110"/>
          <w:sz w:val="52"/>
          <w:szCs w:val="52"/>
          <w:highlight w:val="none"/>
        </w:rPr>
      </w:pPr>
      <w:r>
        <w:rPr>
          <w:rFonts w:hint="eastAsia" w:ascii="宋体" w:hAnsi="宋体" w:eastAsia="宋体" w:cs="宋体"/>
          <w:color w:val="auto"/>
          <w:spacing w:val="40"/>
          <w:w w:val="110"/>
          <w:sz w:val="44"/>
          <w:szCs w:val="44"/>
          <w:highlight w:val="none"/>
        </w:rPr>
        <w:t>响应文件</w:t>
      </w:r>
    </w:p>
    <w:p w14:paraId="0ADD6602">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519714FF">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0B8FC613">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706F10CF">
      <w:pPr>
        <w:pStyle w:val="4"/>
        <w:ind w:firstLine="400"/>
        <w:rPr>
          <w:rFonts w:hint="eastAsia" w:ascii="宋体" w:hAnsi="宋体" w:eastAsia="宋体" w:cs="宋体"/>
          <w:color w:val="auto"/>
          <w:highlight w:val="none"/>
        </w:rPr>
      </w:pPr>
    </w:p>
    <w:p w14:paraId="0A81EF93">
      <w:pPr>
        <w:ind w:firstLine="480"/>
        <w:rPr>
          <w:rFonts w:hint="eastAsia" w:ascii="宋体" w:hAnsi="宋体" w:eastAsia="宋体" w:cs="宋体"/>
          <w:color w:val="auto"/>
          <w:highlight w:val="none"/>
        </w:rPr>
      </w:pPr>
    </w:p>
    <w:p w14:paraId="6124D4F3">
      <w:pPr>
        <w:pStyle w:val="4"/>
        <w:ind w:firstLine="400"/>
        <w:rPr>
          <w:rFonts w:hint="eastAsia" w:ascii="宋体" w:hAnsi="宋体" w:eastAsia="宋体" w:cs="宋体"/>
          <w:color w:val="auto"/>
          <w:highlight w:val="none"/>
        </w:rPr>
      </w:pPr>
    </w:p>
    <w:tbl>
      <w:tblPr>
        <w:tblStyle w:val="12"/>
        <w:tblW w:w="0" w:type="auto"/>
        <w:jc w:val="center"/>
        <w:tblLayout w:type="fixed"/>
        <w:tblCellMar>
          <w:top w:w="0" w:type="dxa"/>
          <w:left w:w="108" w:type="dxa"/>
          <w:bottom w:w="0" w:type="dxa"/>
          <w:right w:w="108" w:type="dxa"/>
        </w:tblCellMar>
      </w:tblPr>
      <w:tblGrid>
        <w:gridCol w:w="1601"/>
        <w:gridCol w:w="6172"/>
      </w:tblGrid>
      <w:tr w14:paraId="0E598D4A">
        <w:tblPrEx>
          <w:tblCellMar>
            <w:top w:w="0" w:type="dxa"/>
            <w:left w:w="108" w:type="dxa"/>
            <w:bottom w:w="0" w:type="dxa"/>
            <w:right w:w="108" w:type="dxa"/>
          </w:tblCellMar>
        </w:tblPrEx>
        <w:trPr>
          <w:jc w:val="center"/>
        </w:trPr>
        <w:tc>
          <w:tcPr>
            <w:tcW w:w="1601" w:type="dxa"/>
            <w:vAlign w:val="bottom"/>
          </w:tcPr>
          <w:p w14:paraId="4BE4A851">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编号：</w:t>
            </w:r>
          </w:p>
        </w:tc>
        <w:tc>
          <w:tcPr>
            <w:tcW w:w="6172" w:type="dxa"/>
            <w:tcBorders>
              <w:top w:val="single" w:color="000000" w:sz="4" w:space="0"/>
              <w:bottom w:val="single" w:color="000000" w:sz="4" w:space="0"/>
            </w:tcBorders>
            <w:vAlign w:val="bottom"/>
          </w:tcPr>
          <w:p w14:paraId="0CA67824">
            <w:pPr>
              <w:ind w:firstLine="0" w:firstLineChars="0"/>
              <w:rPr>
                <w:rFonts w:hint="eastAsia" w:ascii="宋体" w:hAnsi="宋体" w:eastAsia="宋体" w:cs="宋体"/>
                <w:color w:val="auto"/>
                <w:highlight w:val="none"/>
              </w:rPr>
            </w:pPr>
          </w:p>
        </w:tc>
      </w:tr>
      <w:tr w14:paraId="744BE31C">
        <w:tblPrEx>
          <w:tblCellMar>
            <w:top w:w="0" w:type="dxa"/>
            <w:left w:w="108" w:type="dxa"/>
            <w:bottom w:w="0" w:type="dxa"/>
            <w:right w:w="108" w:type="dxa"/>
          </w:tblCellMar>
        </w:tblPrEx>
        <w:trPr>
          <w:jc w:val="center"/>
        </w:trPr>
        <w:tc>
          <w:tcPr>
            <w:tcW w:w="1601" w:type="dxa"/>
            <w:vAlign w:val="bottom"/>
          </w:tcPr>
          <w:p w14:paraId="5C01F0EF">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w:t>
            </w:r>
          </w:p>
        </w:tc>
        <w:tc>
          <w:tcPr>
            <w:tcW w:w="6172" w:type="dxa"/>
            <w:tcBorders>
              <w:top w:val="single" w:color="000000" w:sz="4" w:space="0"/>
              <w:bottom w:val="single" w:color="000000" w:sz="4" w:space="0"/>
            </w:tcBorders>
            <w:vAlign w:val="bottom"/>
          </w:tcPr>
          <w:p w14:paraId="7D8D3A4A">
            <w:pPr>
              <w:ind w:firstLine="0" w:firstLineChars="0"/>
              <w:rPr>
                <w:rFonts w:hint="eastAsia" w:ascii="宋体" w:hAnsi="宋体" w:eastAsia="宋体" w:cs="宋体"/>
                <w:color w:val="auto"/>
                <w:highlight w:val="none"/>
              </w:rPr>
            </w:pPr>
          </w:p>
        </w:tc>
      </w:tr>
    </w:tbl>
    <w:p w14:paraId="5BCB5243">
      <w:pPr>
        <w:spacing w:before="100" w:beforeAutospacing="1" w:after="100" w:afterAutospacing="1" w:line="580" w:lineRule="exact"/>
        <w:ind w:firstLine="0" w:firstLineChars="0"/>
        <w:jc w:val="center"/>
        <w:rPr>
          <w:rFonts w:hint="eastAsia" w:ascii="宋体" w:hAnsi="宋体" w:eastAsia="宋体" w:cs="宋体"/>
          <w:color w:val="auto"/>
          <w:highlight w:val="none"/>
        </w:rPr>
        <w:sectPr>
          <w:pgSz w:w="11905" w:h="16838"/>
          <w:pgMar w:top="1417" w:right="1417" w:bottom="1417" w:left="1417" w:header="720" w:footer="720" w:gutter="0"/>
          <w:cols w:space="720" w:num="1"/>
          <w:docGrid w:linePitch="285" w:charSpace="0"/>
        </w:sect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 月 日</w:t>
      </w:r>
    </w:p>
    <w:p w14:paraId="584D778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Style w:val="18"/>
          <w:rFonts w:hint="eastAsia" w:ascii="宋体" w:hAnsi="宋体" w:eastAsia="宋体" w:cs="宋体"/>
          <w:color w:val="auto"/>
          <w:highlight w:val="none"/>
        </w:rPr>
      </w:pPr>
      <w:r>
        <w:rPr>
          <w:rStyle w:val="18"/>
          <w:rFonts w:hint="eastAsia" w:ascii="宋体" w:hAnsi="宋体" w:eastAsia="宋体" w:cs="宋体"/>
          <w:color w:val="auto"/>
          <w:highlight w:val="none"/>
        </w:rPr>
        <w:t>目  录</w:t>
      </w:r>
    </w:p>
    <w:p w14:paraId="521A440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（目录格式可自拟，应注明对应页码）</w:t>
      </w:r>
    </w:p>
    <w:p w14:paraId="715FAB26">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一</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rPr>
        <w:t xml:space="preserve">函 </w:t>
      </w:r>
    </w:p>
    <w:p w14:paraId="0FDD286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二.</w:t>
      </w:r>
      <w:r>
        <w:rPr>
          <w:rFonts w:hint="eastAsia" w:ascii="宋体" w:hAnsi="宋体" w:eastAsia="宋体" w:cs="宋体"/>
          <w:b/>
          <w:bCs w:val="0"/>
          <w:color w:val="auto"/>
          <w:highlight w:val="none"/>
        </w:rPr>
        <w:t xml:space="preserve">法定代表人身份证明 </w:t>
      </w:r>
    </w:p>
    <w:p w14:paraId="34970272">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三</w:t>
      </w:r>
      <w:r>
        <w:rPr>
          <w:rFonts w:hint="eastAsia" w:ascii="宋体" w:hAnsi="宋体" w:eastAsia="宋体" w:cs="宋体"/>
          <w:b/>
          <w:bCs w:val="0"/>
          <w:color w:val="auto"/>
          <w:highlight w:val="none"/>
        </w:rPr>
        <w:t xml:space="preserve">.法定代表人授权委托书 </w:t>
      </w:r>
    </w:p>
    <w:p w14:paraId="1C2CE79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 xml:space="preserve">四.响应保证金 </w:t>
      </w:r>
    </w:p>
    <w:p w14:paraId="6250BCB6">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五.</w:t>
      </w:r>
      <w:r>
        <w:rPr>
          <w:rFonts w:hint="eastAsia" w:ascii="宋体" w:hAnsi="宋体" w:eastAsia="宋体" w:cs="宋体"/>
          <w:b/>
          <w:bCs w:val="0"/>
          <w:color w:val="auto"/>
          <w:highlight w:val="none"/>
        </w:rPr>
        <w:t xml:space="preserve">资格审查证明文件 </w:t>
      </w:r>
    </w:p>
    <w:p w14:paraId="232C80C3">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六</w:t>
      </w:r>
      <w:r>
        <w:rPr>
          <w:rFonts w:hint="eastAsia" w:ascii="宋体" w:hAnsi="宋体" w:eastAsia="宋体" w:cs="宋体"/>
          <w:b/>
          <w:bCs w:val="0"/>
          <w:color w:val="auto"/>
          <w:highlight w:val="none"/>
        </w:rPr>
        <w:t>.商务文件</w:t>
      </w:r>
    </w:p>
    <w:p w14:paraId="48D6ADF2">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七</w:t>
      </w:r>
      <w:r>
        <w:rPr>
          <w:rFonts w:hint="eastAsia" w:ascii="宋体" w:hAnsi="宋体" w:eastAsia="宋体" w:cs="宋体"/>
          <w:b/>
          <w:bCs w:val="0"/>
          <w:color w:val="auto"/>
          <w:highlight w:val="none"/>
        </w:rPr>
        <w:t>.投标供应商认为有必要提供的其他材料</w:t>
      </w:r>
    </w:p>
    <w:p w14:paraId="76BE644B">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八</w:t>
      </w:r>
      <w:r>
        <w:rPr>
          <w:rFonts w:hint="eastAsia" w:ascii="宋体" w:hAnsi="宋体" w:eastAsia="宋体" w:cs="宋体"/>
          <w:b/>
          <w:bCs w:val="0"/>
          <w:color w:val="auto"/>
          <w:highlight w:val="none"/>
        </w:rPr>
        <w:t>.技术方案</w:t>
      </w:r>
    </w:p>
    <w:p w14:paraId="6D34ED3E">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说明：响应文件按标准范本中的顺序进行编排，具体的资格文件、技术文件、商务文件可以根据</w:t>
      </w:r>
      <w:r>
        <w:rPr>
          <w:rFonts w:hint="eastAsia" w:ascii="宋体" w:hAnsi="宋体" w:eastAsia="宋体" w:cs="宋体"/>
          <w:b/>
          <w:color w:val="auto"/>
          <w:highlight w:val="none"/>
          <w:lang w:eastAsia="zh-CN"/>
        </w:rPr>
        <w:t>谈判采购</w:t>
      </w:r>
      <w:r>
        <w:rPr>
          <w:rFonts w:hint="eastAsia" w:ascii="宋体" w:hAnsi="宋体" w:eastAsia="宋体" w:cs="宋体"/>
          <w:b/>
          <w:color w:val="auto"/>
          <w:highlight w:val="none"/>
        </w:rPr>
        <w:t>要求进行响应，</w:t>
      </w:r>
      <w:r>
        <w:rPr>
          <w:rFonts w:hint="eastAsia" w:ascii="宋体" w:hAnsi="宋体" w:eastAsia="宋体" w:cs="宋体"/>
          <w:b/>
          <w:color w:val="auto"/>
          <w:highlight w:val="none"/>
          <w:lang w:eastAsia="zh-CN"/>
        </w:rPr>
        <w:t>谈判采购不要求</w:t>
      </w:r>
      <w:r>
        <w:rPr>
          <w:rFonts w:hint="eastAsia" w:ascii="宋体" w:hAnsi="宋体" w:eastAsia="宋体" w:cs="宋体"/>
          <w:b/>
          <w:color w:val="auto"/>
          <w:highlight w:val="none"/>
        </w:rPr>
        <w:t>的内容，可以不填写。</w:t>
      </w:r>
    </w:p>
    <w:p w14:paraId="42DF7BF5">
      <w:pPr>
        <w:ind w:firstLine="640"/>
        <w:jc w:val="center"/>
        <w:rPr>
          <w:rStyle w:val="19"/>
          <w:rFonts w:hint="eastAsia" w:ascii="宋体" w:hAnsi="宋体" w:eastAsia="宋体" w:cs="宋体"/>
          <w:color w:val="auto"/>
          <w:highlight w:val="none"/>
        </w:rPr>
      </w:pPr>
      <w:r>
        <w:rPr>
          <w:rStyle w:val="14"/>
          <w:rFonts w:hint="eastAsia" w:ascii="宋体" w:hAnsi="宋体" w:eastAsia="宋体" w:cs="宋体"/>
          <w:color w:val="auto"/>
          <w:sz w:val="32"/>
          <w:szCs w:val="32"/>
          <w:highlight w:val="none"/>
        </w:rPr>
        <w:br w:type="page"/>
      </w:r>
      <w:r>
        <w:rPr>
          <w:rStyle w:val="14"/>
          <w:rFonts w:hint="eastAsia" w:ascii="宋体" w:hAnsi="宋体" w:eastAsia="宋体" w:cs="宋体"/>
          <w:color w:val="auto"/>
          <w:sz w:val="32"/>
          <w:szCs w:val="32"/>
          <w:highlight w:val="none"/>
        </w:rPr>
        <w:t>一、</w:t>
      </w:r>
      <w:r>
        <w:rPr>
          <w:rStyle w:val="19"/>
          <w:rFonts w:hint="eastAsia" w:ascii="宋体" w:hAnsi="宋体" w:eastAsia="宋体" w:cs="宋体"/>
          <w:color w:val="auto"/>
          <w:highlight w:val="none"/>
        </w:rPr>
        <w:t>投 标 函</w:t>
      </w:r>
    </w:p>
    <w:p w14:paraId="0D89E7E0">
      <w:pPr>
        <w:widowControl/>
        <w:ind w:firstLine="0" w:firstLineChars="0"/>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致：</w:t>
      </w:r>
      <w:r>
        <w:rPr>
          <w:rFonts w:hint="eastAsia" w:ascii="宋体" w:hAnsi="宋体" w:eastAsia="宋体" w:cs="宋体"/>
          <w:color w:val="auto"/>
          <w:kern w:val="0"/>
          <w:highlight w:val="none"/>
          <w:lang w:bidi="ar"/>
        </w:rPr>
        <w:t>（采购人名称）</w:t>
      </w:r>
    </w:p>
    <w:p w14:paraId="4B1444E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经研究，我们决定参加项目编号为</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的</w:t>
      </w:r>
      <w:r>
        <w:rPr>
          <w:rFonts w:hint="eastAsia" w:ascii="宋体" w:hAnsi="宋体" w:eastAsia="宋体" w:cs="宋体"/>
          <w:color w:val="auto"/>
          <w:kern w:val="0"/>
          <w:highlight w:val="none"/>
          <w:u w:val="single"/>
          <w:lang w:bidi="ar"/>
        </w:rPr>
        <w:t xml:space="preserve"> （项目名称）    </w:t>
      </w:r>
      <w:r>
        <w:rPr>
          <w:rFonts w:hint="eastAsia" w:ascii="宋体" w:hAnsi="宋体" w:eastAsia="宋体" w:cs="宋体"/>
          <w:color w:val="auto"/>
          <w:kern w:val="0"/>
          <w:highlight w:val="none"/>
          <w:lang w:bidi="ar"/>
        </w:rPr>
        <w:t>投标，我方完全同意</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的全部内容，我方的</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报价为：</w:t>
      </w:r>
      <w:r>
        <w:rPr>
          <w:rFonts w:hint="eastAsia" w:ascii="宋体" w:hAnsi="宋体" w:eastAsia="宋体" w:cs="宋体"/>
          <w:color w:val="auto"/>
          <w:kern w:val="0"/>
          <w:highlight w:val="none"/>
          <w:u w:val="single"/>
          <w:lang w:val="en-US" w:eastAsia="zh-CN" w:bidi="ar"/>
        </w:rPr>
        <w:t xml:space="preserve">           </w:t>
      </w:r>
      <w:r>
        <w:rPr>
          <w:rFonts w:hint="eastAsia" w:ascii="宋体" w:hAnsi="宋体" w:eastAsia="宋体" w:cs="宋体"/>
          <w:b/>
          <w:bCs/>
          <w:color w:val="auto"/>
          <w:kern w:val="0"/>
          <w:highlight w:val="none"/>
          <w:u w:val="none"/>
          <w:lang w:val="en-US" w:eastAsia="zh-CN" w:bidi="ar"/>
        </w:rPr>
        <w:t>（大写：     ）</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详见报价一览表</w:t>
      </w:r>
      <w:r>
        <w:rPr>
          <w:rFonts w:hint="eastAsia" w:ascii="宋体" w:hAnsi="宋体" w:eastAsia="宋体" w:cs="宋体"/>
          <w:color w:val="auto"/>
          <w:kern w:val="0"/>
          <w:highlight w:val="none"/>
          <w:lang w:bidi="ar"/>
        </w:rPr>
        <w:t>。本报价在投标服务期间固定不变，并在合同有效期内不受利率波动的影响，直到服务完成。</w:t>
      </w:r>
    </w:p>
    <w:p w14:paraId="0EBC9ECB">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shd w:val="clear" w:color="auto" w:fill="FFFFFF"/>
          <w:lang w:val="en-US" w:eastAsia="zh-CN"/>
        </w:rPr>
        <w:t>工期（服务期）</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kern w:val="0"/>
          <w:highlight w:val="none"/>
          <w:lang w:bidi="ar"/>
        </w:rPr>
        <w:t>。</w:t>
      </w:r>
    </w:p>
    <w:p w14:paraId="2CFEFF09">
      <w:pPr>
        <w:widowControl/>
        <w:ind w:firstLine="48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2质量要求：</w:t>
      </w:r>
    </w:p>
    <w:p w14:paraId="6FB53642">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二、相关承诺</w:t>
      </w:r>
    </w:p>
    <w:p w14:paraId="43FCB2EA">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1.本</w:t>
      </w: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报价在法律法规及</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规定的投标有效期内有效。</w:t>
      </w:r>
    </w:p>
    <w:p w14:paraId="50F9885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2.我公司已详细审查全部</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及有关的澄清/修改文件，完全理解和同意，并保证遵守</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有关条款规定。</w:t>
      </w:r>
    </w:p>
    <w:p w14:paraId="081DF19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3.保证在成交后忠实地执行与采购人所签署的合同，并承担合同规定的责任义务。</w:t>
      </w:r>
    </w:p>
    <w:p w14:paraId="02353E05">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4.承诺应贵方要求提供任何与该项目投标有关的数据、情况和技术资料。</w:t>
      </w:r>
    </w:p>
    <w:p w14:paraId="56B29D4E">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5.本响应文件提供的报价、资格、技术、商务等文件均真实、有效、准确。若有违背，我方愿意承担由此而产生的一切后果。</w:t>
      </w:r>
    </w:p>
    <w:p w14:paraId="6D481149">
      <w:pPr>
        <w:widowControl/>
        <w:ind w:firstLine="480"/>
        <w:rPr>
          <w:rFonts w:hint="eastAsia" w:ascii="宋体" w:hAnsi="宋体" w:eastAsia="宋体" w:cs="宋体"/>
          <w:color w:val="auto"/>
          <w:kern w:val="0"/>
          <w:highlight w:val="none"/>
          <w:lang w:bidi="ar"/>
        </w:rPr>
      </w:pPr>
    </w:p>
    <w:p w14:paraId="3D2827E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供应商名称（盖章）：</w:t>
      </w:r>
    </w:p>
    <w:p w14:paraId="3073059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法定代表人或授权代表（签字</w:t>
      </w:r>
      <w:r>
        <w:rPr>
          <w:rFonts w:hint="eastAsia" w:ascii="宋体" w:hAnsi="宋体" w:eastAsia="宋体" w:cs="宋体"/>
          <w:color w:val="auto"/>
          <w:kern w:val="0"/>
          <w:highlight w:val="none"/>
          <w:lang w:val="en-US" w:eastAsia="zh-CN" w:bidi="ar"/>
        </w:rPr>
        <w:t>或盖章</w:t>
      </w:r>
      <w:r>
        <w:rPr>
          <w:rFonts w:hint="eastAsia" w:ascii="宋体" w:hAnsi="宋体" w:eastAsia="宋体" w:cs="宋体"/>
          <w:color w:val="auto"/>
          <w:kern w:val="0"/>
          <w:highlight w:val="none"/>
          <w:lang w:bidi="ar"/>
        </w:rPr>
        <w:t xml:space="preserve">）：               </w:t>
      </w:r>
    </w:p>
    <w:p w14:paraId="4B847813">
      <w:pPr>
        <w:ind w:left="0" w:leftChars="0" w:firstLine="480" w:firstLineChars="200"/>
        <w:rPr>
          <w:rStyle w:val="19"/>
          <w:rFonts w:hint="eastAsia" w:ascii="宋体" w:hAnsi="宋体" w:eastAsia="宋体" w:cs="宋体"/>
          <w:color w:val="auto"/>
          <w:highlight w:val="none"/>
          <w:lang w:eastAsia="zh-CN"/>
        </w:rPr>
      </w:pPr>
      <w:r>
        <w:rPr>
          <w:rFonts w:hint="eastAsia" w:ascii="宋体" w:hAnsi="宋体" w:eastAsia="宋体" w:cs="宋体"/>
          <w:color w:val="auto"/>
          <w:kern w:val="0"/>
          <w:highlight w:val="none"/>
          <w:lang w:bidi="ar"/>
        </w:rPr>
        <w:t>日期：</w:t>
      </w:r>
    </w:p>
    <w:p w14:paraId="7912201C">
      <w:pPr>
        <w:ind w:firstLine="0" w:firstLineChars="0"/>
        <w:jc w:val="center"/>
        <w:outlineLvl w:val="9"/>
        <w:rPr>
          <w:rStyle w:val="19"/>
          <w:rFonts w:hint="eastAsia" w:ascii="宋体" w:hAnsi="宋体" w:eastAsia="宋体" w:cs="宋体"/>
          <w:color w:val="auto"/>
          <w:highlight w:val="none"/>
          <w:lang w:eastAsia="zh-CN"/>
        </w:rPr>
        <w:sectPr>
          <w:pgSz w:w="11905" w:h="16838"/>
          <w:pgMar w:top="1417" w:right="1417" w:bottom="1417" w:left="1417" w:header="720" w:footer="720" w:gutter="0"/>
          <w:cols w:space="720" w:num="1"/>
          <w:docGrid w:linePitch="312" w:charSpace="0"/>
        </w:sectPr>
      </w:pPr>
    </w:p>
    <w:p w14:paraId="091708F9">
      <w:pPr>
        <w:ind w:firstLine="0" w:firstLineChars="0"/>
        <w:jc w:val="center"/>
        <w:outlineLvl w:val="9"/>
        <w:rPr>
          <w:rStyle w:val="19"/>
          <w:rFonts w:hint="eastAsia" w:ascii="宋体" w:hAnsi="宋体" w:eastAsia="宋体" w:cs="宋体"/>
          <w:color w:val="auto"/>
          <w:highlight w:val="none"/>
          <w:lang w:eastAsia="zh-CN"/>
        </w:rPr>
      </w:pPr>
      <w:r>
        <w:rPr>
          <w:rStyle w:val="19"/>
          <w:rFonts w:hint="eastAsia" w:ascii="宋体" w:hAnsi="宋体" w:eastAsia="宋体" w:cs="宋体"/>
          <w:color w:val="auto"/>
          <w:highlight w:val="none"/>
          <w:lang w:eastAsia="zh-CN"/>
        </w:rPr>
        <w:t>报价一览表</w:t>
      </w:r>
    </w:p>
    <w:p w14:paraId="17E05F9F">
      <w:pPr>
        <w:keepNext w:val="0"/>
        <w:keepLines w:val="0"/>
        <w:pageBreakBefore w:val="0"/>
        <w:kinsoku/>
        <w:wordWrap/>
        <w:overflowPunct/>
        <w:topLinePunct w:val="0"/>
        <w:autoSpaceDE/>
        <w:autoSpaceDN/>
        <w:bidi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73D02D62">
      <w:pPr>
        <w:keepNext w:val="0"/>
        <w:keepLines w:val="0"/>
        <w:pageBreakBefore w:val="0"/>
        <w:kinsoku/>
        <w:wordWrap/>
        <w:overflowPunct/>
        <w:topLinePunct w:val="0"/>
        <w:autoSpaceDE/>
        <w:autoSpaceDN/>
        <w:bidi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2"/>
        <w:tblW w:w="1412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936"/>
        <w:gridCol w:w="790"/>
        <w:gridCol w:w="1933"/>
        <w:gridCol w:w="1647"/>
        <w:gridCol w:w="1530"/>
        <w:gridCol w:w="1632"/>
        <w:gridCol w:w="1868"/>
        <w:gridCol w:w="3114"/>
      </w:tblGrid>
      <w:tr w14:paraId="3B8F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blHead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EE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5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细目名称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3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C3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工程量（暂定）</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6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控制不含税单价（元）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2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响应不含税单价（元）</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B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控制不含税合价（元）</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1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响应不含税合价（元）</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7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清单包括施工内容</w:t>
            </w:r>
          </w:p>
        </w:tc>
      </w:tr>
      <w:tr w14:paraId="71B2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2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C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45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3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E5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F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161.51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15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E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1.名称:刚性阻燃管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2.材质:PC/PVC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3.规格:外径20mm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4.配置形式:砖、混凝土结构暗配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5.工作内容:包含管道、管件及管卡安装。测位、划线、锯管、套丝、锯管、煨弯、配管、接地、穿引线、敷设、压接地线、接短管等除了甲供材的所有辅材采购。</w:t>
            </w:r>
          </w:p>
        </w:tc>
      </w:tr>
      <w:tr w14:paraId="54CE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4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8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75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F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E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6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40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CAT6UTP双绞线缆:包含线缆接头制作安装开盘、检查、架线盘、敷设、锯断、排列、整理、固定、配合试验、收盘、临时封头、挂牌、线缆敷设、辅助设施安装及拆除、接续测试、接头等，含所有材料费用。</w:t>
            </w:r>
          </w:p>
        </w:tc>
      </w:tr>
      <w:tr w14:paraId="36BA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6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74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51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04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E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49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3B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1A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2B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CAT5UTP双绞线缆:包含线缆接头制作安装开盘、检查、架线盘、敷设、锯断、排列、整理、固定、配合试验、收盘、临时封头、挂牌、线缆敷设、辅助设施安装及拆除、接续测试、接头等，含所有材料费用。</w:t>
            </w:r>
          </w:p>
        </w:tc>
      </w:tr>
      <w:tr w14:paraId="24BF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C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6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87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0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FF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63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C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A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48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4.工作内容:开箱检查、测位、划线、打眼、固定吊钩、接焊线包头、接线、调试.</w:t>
            </w:r>
          </w:p>
        </w:tc>
      </w:tr>
      <w:tr w14:paraId="6478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C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C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凿（压）槽</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E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78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F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F9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40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B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1.名称:剔槽70*70mm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2.填充(恢复)方式:水泥砂浆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3.工作内容:不分规格、大小、综合考虑。包含测位、划线、定位、开槽及恢复，修边、清理、防裂、修补、抹灰、找平、埋螺钉、线槽安装等，含所有材料费用。</w:t>
            </w:r>
          </w:p>
        </w:tc>
      </w:tr>
      <w:tr w14:paraId="5DC4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51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78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DB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47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478.98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D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07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11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44339.18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CC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9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1.型号:200*100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6577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2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F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A8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0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9E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D1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3852.36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B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B1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1.型号:300*100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245E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4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4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9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6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762.18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BC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D6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D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11768.06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F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21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2.形式:刷油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46E4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7A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F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CE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1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2485.47</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7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2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0F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24780.14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30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3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1.名称:刚性阻燃管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3.配置形式:砖、混凝土结构暗配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4.工作内容:包含管道、管件及管卡安装。测位、划线、锯管、套丝、锯管、煨弯、配管、接地、穿引线、敷设、压接地线、接短管等除了甲供材的所有辅材采购。</w:t>
            </w:r>
          </w:p>
        </w:tc>
      </w:tr>
      <w:tr w14:paraId="50C2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B3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01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0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3D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3050.66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2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F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43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9865.53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66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E0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2芯光缆:包含光缆水晶接头制作安装开盘、检查、架线盘、锯断、排列、整理、固定、配合试验、收盘、临时封头、挂牌、光缆敷设、辅助设施安装及拆除、光缆接续及测试、水晶接头等，含所有材料费用。</w:t>
            </w:r>
          </w:p>
        </w:tc>
      </w:tr>
      <w:tr w14:paraId="56E2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DD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F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9F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C0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0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2252.05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AA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AF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24芯光缆:包含光缆水晶接头制作安装开盘、检查、架线盘、锯断、排列、整理、固定、配合试验、收盘、临时封头、挂牌、光缆敷设、辅助设施安装及拆除、光缆接续及测试、水晶接头等，含所有材料费用。</w:t>
            </w:r>
          </w:p>
        </w:tc>
      </w:tr>
      <w:tr w14:paraId="445D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7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6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DA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FB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965.86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B3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DF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89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3673.46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4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F7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CAT6UTP双绞线缆:包含线缆接头制作安装开盘、检查、架线盘、敷设、锯断、排列、整理、固定、配合试验、收盘、临时封头、挂牌、线缆敷设、辅助设施安装及拆除、接续测试、接头等，含所有材料费用。</w:t>
            </w:r>
          </w:p>
        </w:tc>
      </w:tr>
      <w:tr w14:paraId="1359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B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C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8A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3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2579.61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02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50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1F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8907.14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4C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50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CAT5UTP双绞线缆:包含线缆接头制作安装开盘、检查、架线盘、敷设、锯断、排列、整理、固定、配合试验、收盘、临时封头、挂牌、线缆敷设、辅助设施安装及拆除、接续测试、接头等，含所有材料费用。</w:t>
            </w:r>
          </w:p>
        </w:tc>
      </w:tr>
      <w:tr w14:paraId="367B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0E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61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07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20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1425.86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D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A5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5D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10298.70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E3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ZR-RVV2*2.5双绞线缆:包含线缆接头制作安装开盘、检查、架线盘、敷设、锯断、排列、整理、固定、配合试验、收盘、临时封头、挂牌、线缆敷设、辅助设施安装及拆除、接续测试、接头等，含所有材料费用。</w:t>
            </w:r>
          </w:p>
        </w:tc>
      </w:tr>
      <w:tr w14:paraId="6542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8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2D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1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C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3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1115.10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1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C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4.工作内容:开箱检查、测位、划线、打眼、固定吊钩、接焊线包头、接线、调试.</w:t>
            </w:r>
          </w:p>
        </w:tc>
      </w:tr>
      <w:tr w14:paraId="2FD8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3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8A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凿（压）槽</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01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CA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521.90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7B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57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3470.64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D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85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1.名称:剔槽70*70mm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2.填充(恢复)方式:水泥砂浆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3.工作内容:不分规格、大小、综合考虑。包含测位、划线、定位、开槽及恢复，修边、清理、防裂、修补、抹灰、找平、埋螺钉、线槽安装等，含所有材料费用。</w:t>
            </w:r>
          </w:p>
        </w:tc>
      </w:tr>
      <w:tr w14:paraId="2BD4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7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F6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E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93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4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14031.76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1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AE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1.型号:200*100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04DD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6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3A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9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285.72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52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6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4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4411.52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5C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39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2.形式:刷油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3.工作内容:组对、焊接或螺栓固定、弯头、三通或四通、盖板、隔板、附件安装、接地跨接,桥架修理及除锈、刷油、供应及安装、防火堵封、开孔、喷字、桥架间接地跨接。</w:t>
            </w:r>
          </w:p>
        </w:tc>
      </w:tr>
      <w:tr w14:paraId="0629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F9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7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1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E7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D1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36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9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6267.14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6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6A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1.名称:刚性阻燃管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3.配置形式:砖、混凝土结构暗配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4.工作内容:包含管道、管件及管卡安装。测位、划线、锯管、套丝、锯管、煨弯、配管、接地、穿引线、敷设、压接地线、接短管等除了甲供材的所有辅材采购。</w:t>
            </w:r>
          </w:p>
        </w:tc>
      </w:tr>
      <w:tr w14:paraId="5EB2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D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F1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8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82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1019.26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2F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6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A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3521.95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AF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60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2芯光缆:包含光缆水晶接头制作安装开盘、检查、架线盘、锯断、排列、整理、固定、配合试验、收盘、临时封头、挂牌、光缆敷设、辅助设施安装及拆除、光缆接续及测试、水晶接头等，含所有材料费用。</w:t>
            </w:r>
          </w:p>
        </w:tc>
      </w:tr>
      <w:tr w14:paraId="0C76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37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B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A5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41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0D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F4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5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43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C2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24芯光缆:包含光缆水晶接头制作安装开盘、检查、架线盘、锯断、排列、整理、固定、配合试验、收盘、临时封头、挂牌、光缆敷设、辅助设施安装及拆除、光缆接续及测试、水晶接头等，含所有材料费用。</w:t>
            </w:r>
          </w:p>
        </w:tc>
      </w:tr>
      <w:tr w14:paraId="6729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84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D2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4E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02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271.61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02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C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3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93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3E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CAT6UTP双绞线缆:包含线缆接头制作安装开盘、检查、架线盘、敷设、锯断、排列、整理、固定、配合试验、收盘、临时封头、挂牌、线缆敷设、辅助设施安装及拆除、接续测试、接头等，含所有材料费用。</w:t>
            </w:r>
          </w:p>
        </w:tc>
      </w:tr>
      <w:tr w14:paraId="389D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E7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6B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AD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A5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750.25</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F9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65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CD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2590.54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F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8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CAT5UTP双绞线缆:包含线缆接头制作安装开盘、检查、架线盘、敷设、锯断、排列、整理、固定、配合试验、收盘、临时封头、挂牌、线缆敷设、辅助设施安装及拆除、接续测试、接头等，含所有材料费用。</w:t>
            </w:r>
          </w:p>
        </w:tc>
      </w:tr>
      <w:tr w14:paraId="0306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9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2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D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B7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ED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64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247.80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D7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1D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4.工作内容:开箱检查、测位、划线、打眼、固定吊钩、接焊线包头、接线、调试，含所有材料费用。</w:t>
            </w:r>
          </w:p>
        </w:tc>
      </w:tr>
      <w:tr w14:paraId="4281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2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BF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凿（压）槽</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6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43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0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5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2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1506.23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1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4E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1.名称:剔槽70*70mm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2.填充(恢复)方式:水泥砂浆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3.工作内容:不分规格、大小、综合考虑。包含测位、划线、定位、开槽及恢复，修边、清理、防裂、修补、抹灰、找平、埋螺钉、线槽安装等，含所有材料费用。</w:t>
            </w:r>
          </w:p>
        </w:tc>
      </w:tr>
      <w:tr w14:paraId="6663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1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969F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D7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7D2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bl>
    <w:p w14:paraId="6CABDD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0"/>
          <w:sz w:val="24"/>
          <w:szCs w:val="24"/>
          <w:highlight w:val="none"/>
          <w:lang w:bidi="ar"/>
        </w:rPr>
      </w:pPr>
    </w:p>
    <w:p w14:paraId="741424A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响应</w:t>
      </w:r>
      <w:r>
        <w:rPr>
          <w:rFonts w:hint="eastAsia" w:ascii="宋体" w:hAnsi="宋体" w:eastAsia="宋体" w:cs="宋体"/>
          <w:color w:val="auto"/>
          <w:kern w:val="0"/>
          <w:sz w:val="24"/>
          <w:szCs w:val="24"/>
          <w:highlight w:val="none"/>
          <w:lang w:bidi="ar"/>
        </w:rPr>
        <w:t>供应商</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64D299CE">
      <w:pPr>
        <w:keepNext w:val="0"/>
        <w:keepLines w:val="0"/>
        <w:pageBreakBefore w:val="0"/>
        <w:widowControl w:val="0"/>
        <w:kinsoku/>
        <w:wordWrap/>
        <w:overflowPunct/>
        <w:topLinePunct w:val="0"/>
        <w:autoSpaceDE/>
        <w:autoSpaceDN/>
        <w:bidi w:val="0"/>
        <w:adjustRightInd/>
        <w:snapToGrid/>
        <w:spacing w:line="360" w:lineRule="auto"/>
        <w:ind w:firstLine="7680" w:firstLineChars="32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 xml:space="preserve">  年  月   日</w:t>
      </w:r>
      <w:r>
        <w:rPr>
          <w:rFonts w:hint="eastAsia" w:ascii="宋体" w:hAnsi="宋体" w:eastAsia="宋体" w:cs="宋体"/>
          <w:color w:val="auto"/>
          <w:sz w:val="24"/>
          <w:szCs w:val="24"/>
          <w:highlight w:val="none"/>
        </w:rPr>
        <w:t xml:space="preserve"> </w:t>
      </w:r>
    </w:p>
    <w:p w14:paraId="687A0E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本项目最高投标限价：供应商的响应总价报价和响应单价报价不得高于采购控制价，高于采购控制价的为废标。</w:t>
      </w:r>
    </w:p>
    <w:p w14:paraId="2798DB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宋体" w:cs="仿宋"/>
          <w:color w:val="auto"/>
          <w:sz w:val="24"/>
          <w:szCs w:val="24"/>
          <w:highlight w:val="none"/>
          <w:lang w:val="en-US" w:eastAsia="zh-CN"/>
        </w:rPr>
        <w:sectPr>
          <w:pgSz w:w="16839" w:h="11905" w:orient="landscape"/>
          <w:pgMar w:top="1417" w:right="1417" w:bottom="1417" w:left="1417" w:header="0" w:footer="720" w:gutter="0"/>
          <w:pgNumType w:fmt="decimal"/>
          <w:cols w:space="720" w:num="1"/>
        </w:sect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10DE00D1">
      <w:pPr>
        <w:ind w:firstLine="0" w:firstLineChars="0"/>
        <w:jc w:val="center"/>
        <w:rPr>
          <w:rStyle w:val="19"/>
          <w:rFonts w:hint="eastAsia" w:ascii="宋体" w:hAnsi="宋体" w:eastAsia="宋体" w:cs="宋体"/>
          <w:color w:val="auto"/>
          <w:highlight w:val="none"/>
        </w:rPr>
      </w:pPr>
      <w:r>
        <w:rPr>
          <w:rStyle w:val="19"/>
          <w:rFonts w:hint="eastAsia" w:ascii="宋体" w:hAnsi="宋体" w:eastAsia="宋体" w:cs="宋体"/>
          <w:color w:val="auto"/>
          <w:highlight w:val="none"/>
          <w:lang w:eastAsia="zh-CN"/>
        </w:rPr>
        <w:t>二</w:t>
      </w:r>
      <w:r>
        <w:rPr>
          <w:rStyle w:val="19"/>
          <w:rFonts w:hint="eastAsia" w:ascii="宋体" w:hAnsi="宋体" w:eastAsia="宋体" w:cs="宋体"/>
          <w:color w:val="auto"/>
          <w:highlight w:val="none"/>
        </w:rPr>
        <w:t>、</w:t>
      </w:r>
      <w:r>
        <w:rPr>
          <w:rStyle w:val="19"/>
          <w:rFonts w:hint="eastAsia" w:ascii="宋体" w:hAnsi="宋体" w:eastAsia="宋体" w:cs="宋体"/>
          <w:color w:val="auto"/>
          <w:highlight w:val="none"/>
          <w:lang w:val="en-US" w:eastAsia="zh-CN"/>
        </w:rPr>
        <w:t>法定代表人</w:t>
      </w:r>
      <w:r>
        <w:rPr>
          <w:rStyle w:val="19"/>
          <w:rFonts w:hint="eastAsia" w:ascii="宋体" w:hAnsi="宋体" w:eastAsia="宋体" w:cs="宋体"/>
          <w:color w:val="auto"/>
          <w:highlight w:val="none"/>
        </w:rPr>
        <w:t>身份证明</w:t>
      </w:r>
    </w:p>
    <w:p w14:paraId="0221C252">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致：</w:t>
      </w:r>
      <w:r>
        <w:rPr>
          <w:rFonts w:hint="eastAsia" w:ascii="宋体" w:hAnsi="宋体" w:eastAsia="宋体" w:cs="宋体"/>
          <w:color w:val="auto"/>
          <w:kern w:val="0"/>
          <w:highlight w:val="none"/>
          <w:u w:val="single"/>
          <w:lang w:bidi="ar"/>
        </w:rPr>
        <w:t xml:space="preserve"> （采购人名称） </w:t>
      </w:r>
    </w:p>
    <w:p w14:paraId="25EB1D7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u w:val="single"/>
          <w:lang w:bidi="ar"/>
        </w:rPr>
        <w:t>（</w:t>
      </w:r>
      <w:r>
        <w:rPr>
          <w:rFonts w:hint="eastAsia" w:ascii="宋体" w:hAnsi="宋体" w:eastAsia="宋体" w:cs="宋体"/>
          <w:color w:val="auto"/>
          <w:kern w:val="0"/>
          <w:highlight w:val="none"/>
          <w:u w:val="single"/>
          <w:lang w:val="en-US" w:eastAsia="zh-CN" w:bidi="ar"/>
        </w:rPr>
        <w:t>供应商</w:t>
      </w:r>
      <w:r>
        <w:rPr>
          <w:rFonts w:hint="eastAsia" w:ascii="宋体" w:hAnsi="宋体" w:eastAsia="宋体" w:cs="宋体"/>
          <w:color w:val="auto"/>
          <w:kern w:val="0"/>
          <w:highlight w:val="none"/>
          <w:u w:val="single"/>
          <w:lang w:bidi="ar"/>
        </w:rPr>
        <w:t xml:space="preserve">全称）   </w:t>
      </w:r>
      <w:r>
        <w:rPr>
          <w:rFonts w:hint="eastAsia" w:ascii="宋体" w:hAnsi="宋体" w:eastAsia="宋体" w:cs="宋体"/>
          <w:color w:val="auto"/>
          <w:kern w:val="0"/>
          <w:highlight w:val="none"/>
          <w:lang w:bidi="ar"/>
        </w:rPr>
        <w:t>法定代表人</w:t>
      </w:r>
      <w:r>
        <w:rPr>
          <w:rFonts w:hint="eastAsia" w:ascii="宋体" w:hAnsi="宋体" w:eastAsia="宋体" w:cs="宋体"/>
          <w:color w:val="auto"/>
          <w:kern w:val="0"/>
          <w:highlight w:val="none"/>
          <w:u w:val="single"/>
          <w:lang w:bidi="ar"/>
        </w:rPr>
        <w:t xml:space="preserve">   姓名  </w:t>
      </w:r>
      <w:r>
        <w:rPr>
          <w:rFonts w:hint="eastAsia" w:ascii="宋体" w:hAnsi="宋体" w:eastAsia="宋体" w:cs="宋体"/>
          <w:color w:val="auto"/>
          <w:kern w:val="0"/>
          <w:highlight w:val="none"/>
          <w:lang w:bidi="ar"/>
        </w:rPr>
        <w:t xml:space="preserve">（身份证号码：         ），参加贵 </w:t>
      </w:r>
    </w:p>
    <w:p w14:paraId="39DF8E99">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方组织的</w:t>
      </w:r>
      <w:r>
        <w:rPr>
          <w:rFonts w:hint="eastAsia" w:ascii="宋体" w:hAnsi="宋体" w:eastAsia="宋体" w:cs="宋体"/>
          <w:color w:val="auto"/>
          <w:kern w:val="0"/>
          <w:highlight w:val="none"/>
          <w:u w:val="single"/>
          <w:lang w:bidi="ar"/>
        </w:rPr>
        <w:t xml:space="preserve">   项目名称   </w:t>
      </w:r>
      <w:r>
        <w:rPr>
          <w:rFonts w:hint="eastAsia" w:ascii="宋体" w:hAnsi="宋体" w:eastAsia="宋体" w:cs="宋体"/>
          <w:color w:val="auto"/>
          <w:kern w:val="0"/>
          <w:highlight w:val="none"/>
          <w:lang w:bidi="ar"/>
        </w:rPr>
        <w:t>的</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活动，代表本公司处理</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活动中的一切事宜。</w:t>
      </w:r>
    </w:p>
    <w:p w14:paraId="0BFEEFC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5C7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474" w:type="dxa"/>
            <w:vAlign w:val="center"/>
          </w:tcPr>
          <w:p w14:paraId="17DD8C46">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0F4A8323">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6AC94387">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332AA752">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7FBF7AF5">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04B20CCE">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bl>
    <w:p w14:paraId="615EEB74">
      <w:pPr>
        <w:ind w:firstLine="0" w:firstLineChars="0"/>
        <w:jc w:val="center"/>
        <w:rPr>
          <w:rStyle w:val="18"/>
          <w:rFonts w:hint="eastAsia" w:ascii="宋体" w:hAnsi="宋体" w:eastAsia="宋体" w:cs="宋体"/>
          <w:color w:val="auto"/>
          <w:sz w:val="24"/>
          <w:szCs w:val="20"/>
          <w:highlight w:val="none"/>
        </w:rPr>
      </w:pPr>
    </w:p>
    <w:p w14:paraId="0167730E">
      <w:pPr>
        <w:ind w:firstLine="0" w:firstLineChars="0"/>
        <w:jc w:val="center"/>
        <w:rPr>
          <w:rStyle w:val="18"/>
          <w:rFonts w:hint="eastAsia" w:ascii="宋体" w:hAnsi="宋体" w:eastAsia="宋体" w:cs="宋体"/>
          <w:color w:val="auto"/>
          <w:sz w:val="24"/>
          <w:szCs w:val="20"/>
          <w:highlight w:val="none"/>
        </w:rPr>
      </w:pPr>
    </w:p>
    <w:p w14:paraId="52EDF4B3">
      <w:pPr>
        <w:ind w:firstLine="0" w:firstLineChars="0"/>
        <w:jc w:val="center"/>
        <w:rPr>
          <w:rStyle w:val="18"/>
          <w:rFonts w:hint="eastAsia" w:ascii="宋体" w:hAnsi="宋体" w:eastAsia="宋体" w:cs="宋体"/>
          <w:color w:val="auto"/>
          <w:sz w:val="24"/>
          <w:szCs w:val="20"/>
          <w:highlight w:val="none"/>
        </w:rPr>
      </w:pPr>
    </w:p>
    <w:p w14:paraId="49720778">
      <w:pPr>
        <w:ind w:firstLine="0" w:firstLineChars="0"/>
        <w:jc w:val="center"/>
        <w:rPr>
          <w:rStyle w:val="18"/>
          <w:rFonts w:hint="eastAsia" w:ascii="宋体" w:hAnsi="宋体" w:eastAsia="宋体" w:cs="宋体"/>
          <w:color w:val="auto"/>
          <w:sz w:val="24"/>
          <w:szCs w:val="20"/>
          <w:highlight w:val="none"/>
        </w:rPr>
      </w:pPr>
    </w:p>
    <w:p w14:paraId="7F2BDA93">
      <w:pPr>
        <w:ind w:firstLine="0" w:firstLineChars="0"/>
        <w:jc w:val="center"/>
        <w:rPr>
          <w:rStyle w:val="18"/>
          <w:rFonts w:hint="eastAsia" w:ascii="宋体" w:hAnsi="宋体" w:eastAsia="宋体" w:cs="宋体"/>
          <w:color w:val="auto"/>
          <w:sz w:val="24"/>
          <w:szCs w:val="20"/>
          <w:highlight w:val="none"/>
        </w:rPr>
      </w:pPr>
    </w:p>
    <w:p w14:paraId="26B055AC">
      <w:pPr>
        <w:ind w:firstLine="0" w:firstLineChars="0"/>
        <w:jc w:val="center"/>
        <w:rPr>
          <w:rStyle w:val="18"/>
          <w:rFonts w:hint="eastAsia" w:ascii="宋体" w:hAnsi="宋体" w:eastAsia="宋体" w:cs="宋体"/>
          <w:color w:val="auto"/>
          <w:sz w:val="24"/>
          <w:szCs w:val="20"/>
          <w:highlight w:val="none"/>
        </w:rPr>
      </w:pPr>
    </w:p>
    <w:p w14:paraId="24BD22C5">
      <w:pPr>
        <w:ind w:firstLine="0" w:firstLineChars="0"/>
        <w:jc w:val="center"/>
        <w:rPr>
          <w:rStyle w:val="18"/>
          <w:rFonts w:hint="eastAsia" w:ascii="宋体" w:hAnsi="宋体" w:eastAsia="宋体" w:cs="宋体"/>
          <w:color w:val="auto"/>
          <w:sz w:val="24"/>
          <w:szCs w:val="20"/>
          <w:highlight w:val="none"/>
        </w:rPr>
      </w:pPr>
    </w:p>
    <w:p w14:paraId="389F5BC1">
      <w:pPr>
        <w:ind w:firstLine="0" w:firstLineChars="0"/>
        <w:jc w:val="center"/>
        <w:rPr>
          <w:rStyle w:val="18"/>
          <w:rFonts w:hint="eastAsia" w:ascii="宋体" w:hAnsi="宋体" w:eastAsia="宋体" w:cs="宋体"/>
          <w:color w:val="auto"/>
          <w:sz w:val="24"/>
          <w:szCs w:val="20"/>
          <w:highlight w:val="none"/>
        </w:rPr>
      </w:pPr>
    </w:p>
    <w:p w14:paraId="7C53C65B">
      <w:pPr>
        <w:ind w:firstLine="0" w:firstLineChars="0"/>
        <w:jc w:val="center"/>
        <w:rPr>
          <w:rStyle w:val="18"/>
          <w:rFonts w:hint="eastAsia" w:ascii="宋体" w:hAnsi="宋体" w:eastAsia="宋体" w:cs="宋体"/>
          <w:color w:val="auto"/>
          <w:sz w:val="24"/>
          <w:szCs w:val="20"/>
          <w:highlight w:val="none"/>
        </w:rPr>
      </w:pPr>
    </w:p>
    <w:p w14:paraId="67C9EA0A">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供应商（公章）： </w:t>
      </w:r>
    </w:p>
    <w:p w14:paraId="4A5EB349">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法定代表人（签字或盖章）： </w:t>
      </w:r>
    </w:p>
    <w:p w14:paraId="4A48DA7E">
      <w:pPr>
        <w:widowControl/>
        <w:ind w:firstLine="6240" w:firstLineChars="2600"/>
        <w:rPr>
          <w:rFonts w:hint="eastAsia" w:ascii="宋体" w:hAnsi="宋体" w:eastAsia="宋体" w:cs="宋体"/>
          <w:color w:val="auto"/>
          <w:highlight w:val="none"/>
        </w:rPr>
      </w:pPr>
      <w:r>
        <w:rPr>
          <w:rFonts w:hint="eastAsia" w:ascii="宋体" w:hAnsi="宋体" w:eastAsia="宋体" w:cs="宋体"/>
          <w:color w:val="auto"/>
          <w:kern w:val="0"/>
          <w:highlight w:val="none"/>
          <w:lang w:bidi="ar"/>
        </w:rPr>
        <w:t>年   月   日</w:t>
      </w:r>
    </w:p>
    <w:p w14:paraId="274C88FD">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rPr>
        <w:br w:type="page"/>
      </w:r>
      <w:r>
        <w:rPr>
          <w:rStyle w:val="18"/>
          <w:rFonts w:hint="eastAsia" w:ascii="宋体" w:hAnsi="宋体" w:eastAsia="宋体" w:cs="宋体"/>
          <w:color w:val="auto"/>
          <w:highlight w:val="none"/>
          <w:lang w:eastAsia="zh-CN"/>
        </w:rPr>
        <w:t>三</w:t>
      </w:r>
      <w:r>
        <w:rPr>
          <w:rStyle w:val="18"/>
          <w:rFonts w:hint="eastAsia" w:ascii="宋体" w:hAnsi="宋体" w:eastAsia="宋体" w:cs="宋体"/>
          <w:color w:val="auto"/>
          <w:highlight w:val="none"/>
        </w:rPr>
        <w:t>、授权委托书</w:t>
      </w:r>
      <w:r>
        <w:rPr>
          <w:rStyle w:val="18"/>
          <w:rFonts w:hint="eastAsia" w:ascii="宋体" w:hAnsi="宋体" w:eastAsia="宋体" w:cs="宋体"/>
          <w:color w:val="auto"/>
          <w:highlight w:val="none"/>
          <w:lang w:eastAsia="zh-CN"/>
        </w:rPr>
        <w:t>（</w:t>
      </w:r>
      <w:r>
        <w:rPr>
          <w:rStyle w:val="18"/>
          <w:rFonts w:hint="eastAsia" w:ascii="宋体" w:hAnsi="宋体" w:eastAsia="宋体" w:cs="宋体"/>
          <w:color w:val="auto"/>
          <w:highlight w:val="none"/>
          <w:lang w:val="en-US" w:eastAsia="zh-CN"/>
        </w:rPr>
        <w:t>如有</w:t>
      </w:r>
      <w:r>
        <w:rPr>
          <w:rStyle w:val="18"/>
          <w:rFonts w:hint="eastAsia" w:ascii="宋体" w:hAnsi="宋体" w:eastAsia="宋体" w:cs="宋体"/>
          <w:color w:val="auto"/>
          <w:highlight w:val="none"/>
          <w:lang w:eastAsia="zh-CN"/>
        </w:rPr>
        <w:t>）</w:t>
      </w:r>
    </w:p>
    <w:p w14:paraId="26E80D04">
      <w:pPr>
        <w:ind w:firstLine="480"/>
        <w:rPr>
          <w:rFonts w:hint="eastAsia" w:ascii="宋体" w:hAnsi="宋体" w:eastAsia="宋体" w:cs="宋体"/>
          <w:color w:val="auto"/>
          <w:highlight w:val="none"/>
          <w:u w:val="single"/>
        </w:rPr>
      </w:pPr>
    </w:p>
    <w:p w14:paraId="6EBF5C45">
      <w:pPr>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eastAsia="宋体" w:cs="宋体"/>
          <w:color w:val="auto"/>
          <w:kern w:val="0"/>
          <w:highlight w:val="none"/>
          <w:u w:val="single"/>
        </w:rPr>
        <w:t>（采购人名称）</w:t>
      </w:r>
    </w:p>
    <w:p w14:paraId="57A6F77C">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（供应商全称） </w:t>
      </w:r>
      <w:r>
        <w:rPr>
          <w:rFonts w:hint="eastAsia" w:ascii="宋体" w:hAnsi="宋体" w:eastAsia="宋体" w:cs="宋体"/>
          <w:color w:val="auto"/>
          <w:kern w:val="0"/>
          <w:highlight w:val="none"/>
        </w:rPr>
        <w:t>法定代表人</w:t>
      </w:r>
      <w:r>
        <w:rPr>
          <w:rFonts w:hint="eastAsia" w:ascii="宋体" w:hAnsi="宋体" w:eastAsia="宋体" w:cs="宋体"/>
          <w:color w:val="auto"/>
          <w:kern w:val="0"/>
          <w:highlight w:val="none"/>
          <w:u w:val="single"/>
        </w:rPr>
        <w:t xml:space="preserve"> 姓名 </w:t>
      </w:r>
      <w:r>
        <w:rPr>
          <w:rFonts w:hint="eastAsia" w:ascii="宋体" w:hAnsi="宋体" w:eastAsia="宋体" w:cs="宋体"/>
          <w:color w:val="auto"/>
          <w:kern w:val="0"/>
          <w:highlight w:val="none"/>
        </w:rPr>
        <w:t>授权</w:t>
      </w:r>
      <w:r>
        <w:rPr>
          <w:rFonts w:hint="eastAsia" w:ascii="宋体" w:hAnsi="宋体" w:eastAsia="宋体" w:cs="宋体"/>
          <w:color w:val="auto"/>
          <w:kern w:val="0"/>
          <w:highlight w:val="none"/>
          <w:u w:val="single"/>
        </w:rPr>
        <w:t xml:space="preserve"> 被授权人姓名</w:t>
      </w:r>
      <w:r>
        <w:rPr>
          <w:rFonts w:hint="eastAsia" w:ascii="宋体" w:hAnsi="宋体" w:eastAsia="宋体" w:cs="宋体"/>
          <w:color w:val="auto"/>
          <w:kern w:val="0"/>
          <w:highlight w:val="none"/>
        </w:rPr>
        <w:t>（身份证号码：</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）为本公司合法代理人，参加贵方组织的</w:t>
      </w:r>
      <w:r>
        <w:rPr>
          <w:rFonts w:hint="eastAsia" w:ascii="宋体" w:hAnsi="宋体" w:eastAsia="宋体" w:cs="宋体"/>
          <w:color w:val="auto"/>
          <w:kern w:val="0"/>
          <w:highlight w:val="none"/>
          <w:u w:val="single"/>
        </w:rPr>
        <w:t xml:space="preserve">  项目名称（</w:t>
      </w:r>
      <w:r>
        <w:rPr>
          <w:rFonts w:hint="eastAsia" w:ascii="宋体" w:hAnsi="宋体" w:eastAsia="宋体" w:cs="宋体"/>
          <w:color w:val="auto"/>
          <w:kern w:val="0"/>
          <w:highlight w:val="none"/>
          <w:lang w:eastAsia="zh-CN"/>
        </w:rPr>
        <w:t>采购</w:t>
      </w:r>
      <w:r>
        <w:rPr>
          <w:rFonts w:hint="eastAsia" w:ascii="宋体" w:hAnsi="宋体" w:eastAsia="宋体" w:cs="宋体"/>
          <w:color w:val="auto"/>
          <w:kern w:val="0"/>
          <w:highlight w:val="none"/>
        </w:rPr>
        <w:t>编号：</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rPr>
        <w:t>活动，代表本公司处理</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rPr>
        <w:t>活动中的一切事宜。</w:t>
      </w:r>
    </w:p>
    <w:p w14:paraId="668CA577">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本授权委托书签章即生效，被委托人无转委托权。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3F97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474" w:type="dxa"/>
            <w:vAlign w:val="center"/>
          </w:tcPr>
          <w:p w14:paraId="3A5B1671">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758CBE4C">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37C44169">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183A4078">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被授权人身份证复印件（扫描件）</w:t>
            </w:r>
          </w:p>
          <w:p w14:paraId="3297B49B">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701CFD12">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r w14:paraId="3A9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4474" w:type="dxa"/>
            <w:vAlign w:val="center"/>
          </w:tcPr>
          <w:p w14:paraId="5ECEDB5F">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60512411">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54D074AF">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57121D5A">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被授权人身份证复印件（扫描件）</w:t>
            </w:r>
          </w:p>
          <w:p w14:paraId="042BC3CE">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4D5F2D56">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bl>
    <w:p w14:paraId="4A078AAB">
      <w:pPr>
        <w:ind w:firstLine="480"/>
        <w:rPr>
          <w:rFonts w:hint="eastAsia" w:ascii="宋体" w:hAnsi="宋体" w:eastAsia="宋体" w:cs="宋体"/>
          <w:color w:val="auto"/>
          <w:highlight w:val="none"/>
        </w:rPr>
      </w:pPr>
    </w:p>
    <w:p w14:paraId="15B09C97">
      <w:pPr>
        <w:ind w:firstLine="480"/>
        <w:rPr>
          <w:rFonts w:hint="eastAsia" w:ascii="宋体" w:hAnsi="宋体" w:eastAsia="宋体" w:cs="宋体"/>
          <w:color w:val="auto"/>
          <w:kern w:val="0"/>
          <w:highlight w:val="none"/>
        </w:rPr>
      </w:pPr>
      <w:r>
        <w:rPr>
          <w:rFonts w:hint="eastAsia" w:ascii="宋体" w:hAnsi="宋体" w:eastAsia="宋体" w:cs="宋体"/>
          <w:color w:val="auto"/>
          <w:highlight w:val="none"/>
        </w:rPr>
        <w:t>注：1.</w:t>
      </w:r>
      <w:r>
        <w:rPr>
          <w:rFonts w:hint="eastAsia" w:ascii="宋体" w:hAnsi="宋体" w:eastAsia="宋体" w:cs="宋体"/>
          <w:color w:val="auto"/>
          <w:kern w:val="0"/>
          <w:highlight w:val="none"/>
        </w:rPr>
        <w:t>身份证复印件（扫描件）如为粘贴的，须在身份证复印件（扫描件）接缝处加盖公章；</w:t>
      </w:r>
    </w:p>
    <w:p w14:paraId="72D8B7BC">
      <w:pPr>
        <w:ind w:firstLine="991" w:firstLineChars="413"/>
        <w:rPr>
          <w:rFonts w:hint="eastAsia" w:ascii="宋体" w:hAnsi="宋体" w:eastAsia="宋体" w:cs="宋体"/>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本委托书需另行签署一份，在招标时验证被授权人身份时使用；</w:t>
      </w:r>
    </w:p>
    <w:p w14:paraId="1DD0E3A6">
      <w:pPr>
        <w:ind w:firstLine="991" w:firstLineChars="413"/>
        <w:rPr>
          <w:rFonts w:hint="eastAsia" w:ascii="宋体" w:hAnsi="宋体" w:eastAsia="宋体" w:cs="宋体"/>
          <w:color w:val="auto"/>
          <w:kern w:val="0"/>
          <w:highlight w:val="none"/>
        </w:rPr>
      </w:pPr>
      <w:r>
        <w:rPr>
          <w:rFonts w:hint="eastAsia" w:ascii="宋体" w:hAnsi="宋体" w:eastAsia="宋体" w:cs="宋体"/>
          <w:color w:val="auto"/>
          <w:kern w:val="0"/>
          <w:highlight w:val="none"/>
        </w:rPr>
        <w:t>3.如果是法定代表人参加投标，本页内容为法定代表人身份证复印件（扫描件）。</w:t>
      </w:r>
    </w:p>
    <w:p w14:paraId="6F99661A">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法定代表人（签字或盖章）：                        被授权代表签字：</w:t>
      </w:r>
    </w:p>
    <w:p w14:paraId="0D81F63D">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供应商</w:t>
      </w:r>
      <w:r>
        <w:rPr>
          <w:rFonts w:hint="eastAsia" w:ascii="宋体" w:hAnsi="宋体" w:eastAsia="宋体" w:cs="宋体"/>
          <w:color w:val="auto"/>
          <w:kern w:val="0"/>
          <w:highlight w:val="none"/>
        </w:rPr>
        <w:t xml:space="preserve">（公章）： </w:t>
      </w:r>
    </w:p>
    <w:p w14:paraId="44B25D50">
      <w:pPr>
        <w:ind w:firstLine="991" w:firstLineChars="413"/>
        <w:jc w:val="right"/>
        <w:rPr>
          <w:rFonts w:hint="eastAsia" w:ascii="宋体" w:hAnsi="宋体" w:eastAsia="宋体" w:cs="宋体"/>
          <w:color w:val="auto"/>
          <w:highlight w:val="none"/>
        </w:rPr>
      </w:pPr>
      <w:bookmarkStart w:id="26" w:name="_Toc3145"/>
      <w:bookmarkStart w:id="27" w:name="_Toc1583"/>
      <w:bookmarkStart w:id="28" w:name="_Toc19688"/>
      <w:bookmarkStart w:id="29" w:name="_Toc557"/>
      <w:bookmarkStart w:id="30" w:name="_Toc16850"/>
      <w:r>
        <w:rPr>
          <w:rFonts w:hint="eastAsia" w:ascii="宋体" w:hAnsi="宋体" w:eastAsia="宋体" w:cs="宋体"/>
          <w:color w:val="auto"/>
          <w:highlight w:val="none"/>
        </w:rPr>
        <w:t xml:space="preserve">年   月   日 </w:t>
      </w:r>
    </w:p>
    <w:p w14:paraId="71C6D69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EBB0B0">
      <w:pPr>
        <w:ind w:left="0" w:leftChars="0" w:firstLine="0" w:firstLineChars="0"/>
        <w:rPr>
          <w:rFonts w:hint="eastAsia" w:ascii="宋体" w:hAnsi="宋体" w:eastAsia="宋体" w:cs="宋体"/>
          <w:color w:val="auto"/>
          <w:highlight w:val="none"/>
        </w:rPr>
      </w:pPr>
    </w:p>
    <w:p w14:paraId="34509B85">
      <w:pPr>
        <w:ind w:firstLine="0" w:firstLineChars="0"/>
        <w:jc w:val="center"/>
        <w:rPr>
          <w:rStyle w:val="18"/>
          <w:rFonts w:hint="default" w:ascii="宋体" w:hAnsi="宋体" w:eastAsia="宋体" w:cs="宋体"/>
          <w:color w:val="auto"/>
          <w:highlight w:val="none"/>
          <w:lang w:val="en-US" w:eastAsia="zh-CN"/>
        </w:rPr>
      </w:pPr>
      <w:r>
        <w:rPr>
          <w:rStyle w:val="18"/>
          <w:rFonts w:hint="eastAsia" w:ascii="宋体" w:hAnsi="宋体" w:eastAsia="宋体" w:cs="宋体"/>
          <w:color w:val="auto"/>
          <w:highlight w:val="none"/>
          <w:lang w:eastAsia="zh-CN"/>
        </w:rPr>
        <w:t>四、响应</w:t>
      </w:r>
      <w:r>
        <w:rPr>
          <w:rStyle w:val="18"/>
          <w:rFonts w:hint="eastAsia" w:ascii="宋体" w:hAnsi="宋体" w:eastAsia="宋体" w:cs="宋体"/>
          <w:color w:val="auto"/>
          <w:highlight w:val="none"/>
        </w:rPr>
        <w:t>保证金</w:t>
      </w:r>
      <w:r>
        <w:rPr>
          <w:rStyle w:val="18"/>
          <w:rFonts w:hint="eastAsia" w:ascii="宋体" w:hAnsi="宋体" w:eastAsia="宋体" w:cs="宋体"/>
          <w:color w:val="auto"/>
          <w:highlight w:val="none"/>
          <w:lang w:eastAsia="zh-CN"/>
        </w:rPr>
        <w:t>（</w:t>
      </w:r>
      <w:r>
        <w:rPr>
          <w:rStyle w:val="18"/>
          <w:rFonts w:hint="eastAsia" w:ascii="宋体" w:hAnsi="宋体" w:eastAsia="宋体" w:cs="宋体"/>
          <w:color w:val="auto"/>
          <w:highlight w:val="none"/>
          <w:lang w:val="en-US" w:eastAsia="zh-CN"/>
        </w:rPr>
        <w:t>如有）</w:t>
      </w:r>
    </w:p>
    <w:p w14:paraId="45E82FA4">
      <w:pPr>
        <w:bidi w:val="0"/>
        <w:rPr>
          <w:rFonts w:hint="eastAsia" w:ascii="宋体" w:hAnsi="宋体" w:eastAsia="宋体" w:cs="宋体"/>
          <w:color w:val="auto"/>
          <w:sz w:val="28"/>
          <w:szCs w:val="28"/>
          <w:highlight w:val="none"/>
        </w:rPr>
      </w:pPr>
      <w:bookmarkStart w:id="31" w:name="_Toc31233"/>
      <w:bookmarkStart w:id="32" w:name="_Toc20030"/>
      <w:bookmarkStart w:id="33" w:name="_Toc1269"/>
      <w:bookmarkStart w:id="34" w:name="_Toc6120"/>
      <w:bookmarkStart w:id="35" w:name="_Toc4208"/>
      <w:r>
        <w:rPr>
          <w:rFonts w:hint="eastAsia" w:ascii="宋体" w:hAnsi="宋体" w:eastAsia="宋体" w:cs="宋体"/>
          <w:b/>
          <w:bCs/>
          <w:color w:val="auto"/>
          <w:sz w:val="28"/>
          <w:szCs w:val="28"/>
          <w:highlight w:val="none"/>
        </w:rPr>
        <w:t>若采用转账，</w:t>
      </w:r>
      <w:r>
        <w:rPr>
          <w:rFonts w:hint="eastAsia" w:ascii="宋体" w:hAnsi="宋体" w:eastAsia="宋体" w:cs="宋体"/>
          <w:b/>
          <w:bCs/>
          <w:color w:val="auto"/>
          <w:sz w:val="28"/>
          <w:szCs w:val="28"/>
          <w:highlight w:val="none"/>
          <w:lang w:eastAsia="zh-CN"/>
        </w:rPr>
        <w:t>响应</w:t>
      </w:r>
      <w:r>
        <w:rPr>
          <w:rFonts w:hint="eastAsia" w:ascii="宋体" w:hAnsi="宋体" w:eastAsia="宋体" w:cs="宋体"/>
          <w:b/>
          <w:bCs/>
          <w:color w:val="auto"/>
          <w:sz w:val="28"/>
          <w:szCs w:val="28"/>
          <w:highlight w:val="none"/>
        </w:rPr>
        <w:t>供应商应在此提供汇款凭证的复印件。</w:t>
      </w:r>
      <w:bookmarkEnd w:id="31"/>
      <w:bookmarkEnd w:id="32"/>
      <w:bookmarkEnd w:id="33"/>
      <w:bookmarkEnd w:id="34"/>
      <w:bookmarkEnd w:id="35"/>
      <w:r>
        <w:rPr>
          <w:rFonts w:hint="eastAsia" w:ascii="宋体" w:hAnsi="宋体" w:eastAsia="宋体" w:cs="宋体"/>
          <w:color w:val="auto"/>
          <w:sz w:val="28"/>
          <w:szCs w:val="28"/>
          <w:highlight w:val="none"/>
        </w:rPr>
        <w:t xml:space="preserve"> </w:t>
      </w:r>
    </w:p>
    <w:p w14:paraId="1EF742A8">
      <w:pPr>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若采用银行保函（或保证保险）形式，银行保函（或保证保险）的原件应在递交</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截止时间之前单独密封递交，银行保函的复印件应装入</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 xml:space="preserve">正、副本中。（如 未采用请忽略） </w:t>
      </w:r>
    </w:p>
    <w:p w14:paraId="40563B25">
      <w:pPr>
        <w:bidi w:val="0"/>
        <w:rPr>
          <w:rFonts w:hint="eastAsia" w:ascii="宋体" w:hAnsi="宋体" w:eastAsia="宋体" w:cs="宋体"/>
          <w:color w:val="auto"/>
          <w:kern w:val="0"/>
          <w:highlight w:val="none"/>
        </w:rPr>
      </w:pPr>
      <w:r>
        <w:rPr>
          <w:rFonts w:hint="eastAsia" w:ascii="宋体" w:hAnsi="宋体" w:eastAsia="宋体" w:cs="宋体"/>
          <w:color w:val="auto"/>
          <w:sz w:val="28"/>
          <w:szCs w:val="28"/>
          <w:highlight w:val="none"/>
        </w:rPr>
        <w:t>如采用银行保函或保证保险的，银行保函或保证保险格式不做要求,但须在保函或保单中体现出本项目的项目名称及注明“</w:t>
      </w:r>
      <w:r>
        <w:rPr>
          <w:rFonts w:hint="eastAsia" w:ascii="宋体" w:hAnsi="宋体" w:eastAsia="宋体" w:cs="宋体"/>
          <w:b/>
          <w:bCs/>
          <w:color w:val="auto"/>
          <w:sz w:val="28"/>
          <w:szCs w:val="28"/>
          <w:highlight w:val="none"/>
        </w:rPr>
        <w:t>投标有效期或经延长的投标有效期内保持有效</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highlight w:val="none"/>
        </w:rPr>
        <w:t xml:space="preserve"> </w:t>
      </w:r>
      <w:bookmarkEnd w:id="26"/>
      <w:bookmarkEnd w:id="27"/>
      <w:bookmarkEnd w:id="28"/>
      <w:bookmarkEnd w:id="29"/>
      <w:bookmarkEnd w:id="30"/>
    </w:p>
    <w:p w14:paraId="774000E0">
      <w:pPr>
        <w:rPr>
          <w:rStyle w:val="20"/>
          <w:rFonts w:hint="eastAsia" w:ascii="宋体" w:hAnsi="宋体" w:eastAsia="宋体" w:cs="宋体"/>
          <w:color w:val="auto"/>
          <w:highlight w:val="none"/>
          <w:lang w:eastAsia="zh-CN"/>
        </w:rPr>
      </w:pPr>
      <w:bookmarkStart w:id="36" w:name="_Toc16264"/>
      <w:bookmarkStart w:id="37" w:name="_Toc10965"/>
      <w:bookmarkStart w:id="38" w:name="_Toc27223"/>
      <w:bookmarkStart w:id="39" w:name="_Toc11039"/>
      <w:bookmarkStart w:id="40" w:name="_Toc24207"/>
      <w:r>
        <w:rPr>
          <w:rStyle w:val="20"/>
          <w:rFonts w:hint="eastAsia" w:ascii="宋体" w:hAnsi="宋体" w:eastAsia="宋体" w:cs="宋体"/>
          <w:color w:val="auto"/>
          <w:highlight w:val="none"/>
          <w:lang w:eastAsia="zh-CN"/>
        </w:rPr>
        <w:br w:type="page"/>
      </w:r>
    </w:p>
    <w:p w14:paraId="032C1E6F">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五、</w:t>
      </w:r>
      <w:bookmarkEnd w:id="36"/>
      <w:bookmarkEnd w:id="37"/>
      <w:bookmarkEnd w:id="38"/>
      <w:bookmarkEnd w:id="39"/>
      <w:bookmarkEnd w:id="40"/>
      <w:r>
        <w:rPr>
          <w:rStyle w:val="18"/>
          <w:rFonts w:hint="eastAsia" w:ascii="宋体" w:hAnsi="宋体" w:eastAsia="宋体" w:cs="宋体"/>
          <w:color w:val="auto"/>
          <w:highlight w:val="none"/>
          <w:lang w:eastAsia="zh-CN"/>
        </w:rPr>
        <w:t>资格审查证明文件</w:t>
      </w:r>
    </w:p>
    <w:p w14:paraId="39F59593">
      <w:pPr>
        <w:widowControl/>
        <w:adjustRightInd w:val="0"/>
        <w:snapToGrid w:val="0"/>
        <w:spacing w:line="324" w:lineRule="auto"/>
        <w:ind w:firstLine="480"/>
        <w:rPr>
          <w:rFonts w:hint="eastAsia" w:ascii="宋体" w:hAnsi="宋体" w:eastAsia="宋体" w:cs="宋体"/>
          <w:color w:val="auto"/>
          <w:highlight w:val="none"/>
          <w:shd w:val="clear" w:color="auto" w:fill="FFFFFF"/>
        </w:rPr>
      </w:pPr>
      <w:bookmarkStart w:id="41" w:name="_Toc25998"/>
      <w:bookmarkStart w:id="42" w:name="_Toc15118"/>
      <w:bookmarkStart w:id="43" w:name="_Toc21524"/>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2CAD667A">
      <w:pPr>
        <w:spacing w:line="440" w:lineRule="exact"/>
        <w:ind w:firstLine="240" w:firstLineChars="100"/>
        <w:jc w:val="left"/>
        <w:rPr>
          <w:rFonts w:hint="eastAsia" w:ascii="宋体" w:hAnsi="宋体" w:eastAsia="宋体" w:cs="宋体"/>
          <w:color w:val="auto"/>
          <w:highlight w:val="none"/>
          <w:u w:val="single"/>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具有独立承担民事责任的能力</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u w:val="single"/>
        </w:rPr>
        <w:t>提供法人或其他组织的营业执照（或事业单位法人证书）复印件加盖供应商公章；</w:t>
      </w:r>
    </w:p>
    <w:p w14:paraId="21FECA5B">
      <w:pPr>
        <w:widowControl/>
        <w:adjustRightInd w:val="0"/>
        <w:snapToGrid w:val="0"/>
        <w:spacing w:line="324" w:lineRule="auto"/>
        <w:ind w:firstLine="480"/>
        <w:rPr>
          <w:rFonts w:hint="eastAsia" w:ascii="宋体" w:hAnsi="宋体" w:eastAsia="宋体" w:cs="宋体"/>
          <w:b/>
          <w:bCs/>
          <w:color w:val="auto"/>
          <w:highlight w:val="none"/>
          <w:shd w:val="clear" w:color="auto" w:fill="FFFFFF"/>
        </w:rPr>
      </w:pPr>
    </w:p>
    <w:p w14:paraId="65C1B6FA">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2D5215AB">
      <w:pPr>
        <w:widowControl/>
        <w:numPr>
          <w:ilvl w:val="0"/>
          <w:numId w:val="0"/>
        </w:numPr>
        <w:adjustRightInd w:val="0"/>
        <w:snapToGrid w:val="0"/>
        <w:spacing w:line="324"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highlight w:val="none"/>
        </w:rPr>
        <w:t>具有履行合同所必需的设备和专业技术能力：</w:t>
      </w:r>
      <w:r>
        <w:rPr>
          <w:rFonts w:hint="eastAsia" w:ascii="宋体" w:hAnsi="宋体" w:eastAsia="宋体" w:cs="宋体"/>
          <w:color w:val="auto"/>
          <w:highlight w:val="none"/>
          <w:u w:val="single"/>
        </w:rPr>
        <w:t>需附</w:t>
      </w:r>
      <w:r>
        <w:rPr>
          <w:rFonts w:hint="eastAsia" w:ascii="宋体" w:hAnsi="宋体" w:eastAsia="宋体" w:cs="宋体"/>
          <w:color w:val="auto"/>
          <w:highlight w:val="none"/>
          <w:u w:val="single"/>
          <w:lang w:eastAsia="zh-CN"/>
        </w:rPr>
        <w:t>响应</w:t>
      </w:r>
      <w:r>
        <w:rPr>
          <w:rFonts w:hint="eastAsia" w:ascii="宋体" w:hAnsi="宋体" w:eastAsia="宋体" w:cs="宋体"/>
          <w:color w:val="auto"/>
          <w:highlight w:val="none"/>
          <w:u w:val="single"/>
        </w:rPr>
        <w:t>供应商履约能力承诺书，</w:t>
      </w:r>
      <w:r>
        <w:rPr>
          <w:rFonts w:hint="eastAsia" w:ascii="宋体" w:hAnsi="宋体" w:eastAsia="宋体" w:cs="宋体"/>
          <w:color w:val="auto"/>
          <w:highlight w:val="none"/>
        </w:rPr>
        <w:t>；</w:t>
      </w:r>
    </w:p>
    <w:p w14:paraId="0F4CEC38">
      <w:pPr>
        <w:widowControl/>
        <w:numPr>
          <w:ilvl w:val="0"/>
          <w:numId w:val="0"/>
        </w:numPr>
        <w:adjustRightInd w:val="0"/>
        <w:snapToGrid w:val="0"/>
        <w:spacing w:line="324" w:lineRule="auto"/>
        <w:rPr>
          <w:rFonts w:hint="eastAsia" w:ascii="宋体" w:hAnsi="宋体" w:eastAsia="宋体" w:cs="宋体"/>
          <w:color w:val="auto"/>
          <w:highlight w:val="none"/>
        </w:rPr>
      </w:pPr>
    </w:p>
    <w:p w14:paraId="21B15552">
      <w:pPr>
        <w:widowControl/>
        <w:numPr>
          <w:ilvl w:val="0"/>
          <w:numId w:val="0"/>
        </w:numPr>
        <w:adjustRightInd w:val="0"/>
        <w:snapToGrid w:val="0"/>
        <w:spacing w:line="324" w:lineRule="auto"/>
        <w:rPr>
          <w:rFonts w:hint="eastAsia" w:ascii="宋体" w:hAnsi="宋体" w:eastAsia="宋体" w:cs="宋体"/>
          <w:color w:val="auto"/>
          <w:highlight w:val="none"/>
        </w:rPr>
      </w:pPr>
    </w:p>
    <w:p w14:paraId="5F7CAF2F">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6DE8A29B">
      <w:pPr>
        <w:rPr>
          <w:rFonts w:hint="eastAsia" w:ascii="宋体" w:hAnsi="宋体" w:eastAsia="宋体" w:cs="宋体"/>
          <w:color w:val="auto"/>
          <w:highlight w:val="none"/>
          <w:shd w:val="clear" w:color="auto" w:fill="FFFFFF"/>
          <w:lang w:val="en-US" w:eastAsia="zh-CN"/>
        </w:rPr>
      </w:pPr>
    </w:p>
    <w:p w14:paraId="73B84AB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708588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201DB29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25C52CA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3B2DAC0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4E01292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C6071C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AD2BDC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F1CE43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响应供应商名称：（</w:t>
      </w:r>
      <w:r>
        <w:rPr>
          <w:rFonts w:hint="eastAsia" w:ascii="宋体" w:hAnsi="宋体" w:eastAsia="宋体" w:cs="宋体"/>
          <w:color w:val="auto"/>
          <w:highlight w:val="none"/>
          <w:u w:val="single"/>
          <w:shd w:val="clear" w:color="auto" w:fill="FFFFFF"/>
          <w:lang w:val="en-US" w:eastAsia="zh-CN"/>
        </w:rPr>
        <w:t>响应供应商名称）</w:t>
      </w:r>
      <w:r>
        <w:rPr>
          <w:rFonts w:hint="eastAsia" w:ascii="宋体" w:hAnsi="宋体" w:eastAsia="宋体" w:cs="宋体"/>
          <w:color w:val="auto"/>
          <w:highlight w:val="none"/>
          <w:u w:val="none"/>
          <w:shd w:val="clear" w:color="auto" w:fill="FFFFFF"/>
          <w:lang w:val="en-US" w:eastAsia="zh-CN"/>
        </w:rPr>
        <w:t>（盖章）</w:t>
      </w:r>
    </w:p>
    <w:p w14:paraId="75552B1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8F30E0A">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1B133B78">
      <w:pPr>
        <w:numPr>
          <w:ilvl w:val="0"/>
          <w:numId w:val="0"/>
        </w:numPr>
        <w:spacing w:line="440" w:lineRule="exact"/>
        <w:ind w:left="-2" w:leftChars="0" w:firstLine="482" w:firstLineChars="0"/>
        <w:jc w:val="left"/>
        <w:rPr>
          <w:rFonts w:hint="eastAsia" w:ascii="宋体" w:hAnsi="宋体" w:eastAsia="宋体" w:cs="宋体"/>
          <w:b/>
          <w:bCs/>
          <w:color w:val="auto"/>
          <w:highlight w:val="none"/>
          <w:u w:val="singl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color w:val="auto"/>
          <w:highlight w:val="none"/>
          <w:lang w:eastAsia="zh-CN"/>
        </w:rPr>
        <w:t>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响应单位公章，查询时间为本公告发布之日起至响应文件递交截止之日止）</w:t>
      </w:r>
      <w:r>
        <w:rPr>
          <w:rFonts w:hint="eastAsia" w:ascii="宋体" w:hAnsi="宋体" w:eastAsia="宋体" w:cs="宋体"/>
          <w:color w:val="auto"/>
          <w:highlight w:val="none"/>
        </w:rPr>
        <w:t>；</w:t>
      </w:r>
    </w:p>
    <w:p w14:paraId="5C794FEA">
      <w:pPr>
        <w:widowControl/>
        <w:adjustRightInd w:val="0"/>
        <w:snapToGrid w:val="0"/>
        <w:spacing w:line="324" w:lineRule="auto"/>
        <w:ind w:firstLine="480"/>
        <w:jc w:val="center"/>
        <w:rPr>
          <w:rFonts w:hint="eastAsia" w:ascii="宋体" w:hAnsi="宋体" w:eastAsia="宋体" w:cs="宋体"/>
          <w:b/>
          <w:bCs/>
          <w:color w:val="auto"/>
          <w:sz w:val="32"/>
          <w:szCs w:val="32"/>
          <w:highlight w:val="none"/>
          <w:shd w:val="clear" w:color="auto" w:fill="FFFFFF"/>
          <w:lang w:val="en-US" w:eastAsia="zh-CN"/>
        </w:rPr>
      </w:pPr>
    </w:p>
    <w:p w14:paraId="2B001ED8">
      <w:pPr>
        <w:widowControl/>
        <w:adjustRightInd w:val="0"/>
        <w:snapToGrid w:val="0"/>
        <w:spacing w:line="324" w:lineRule="auto"/>
        <w:ind w:firstLine="480"/>
        <w:jc w:val="center"/>
        <w:rPr>
          <w:rFonts w:hint="eastAsia" w:ascii="宋体" w:hAnsi="宋体" w:eastAsia="宋体" w:cs="宋体"/>
          <w:b/>
          <w:bCs/>
          <w:color w:val="auto"/>
          <w:sz w:val="32"/>
          <w:szCs w:val="32"/>
          <w:highlight w:val="none"/>
          <w:shd w:val="clear" w:color="auto" w:fill="FFFFFF"/>
          <w:lang w:val="en-US" w:eastAsia="zh-CN"/>
        </w:rPr>
      </w:pPr>
    </w:p>
    <w:p w14:paraId="489D6E08">
      <w:pPr>
        <w:numPr>
          <w:ilvl w:val="0"/>
          <w:numId w:val="0"/>
        </w:numPr>
        <w:spacing w:line="440" w:lineRule="exact"/>
        <w:ind w:left="-2" w:leftChars="0" w:firstLine="482" w:firstLineChars="0"/>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3ED8885A">
      <w:pPr>
        <w:widowControl/>
        <w:numPr>
          <w:ilvl w:val="0"/>
          <w:numId w:val="0"/>
        </w:numPr>
        <w:adjustRightInd w:val="0"/>
        <w:snapToGrid w:val="0"/>
        <w:spacing w:line="324" w:lineRule="auto"/>
        <w:ind w:left="0" w:leftChars="0" w:firstLine="48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b w:val="0"/>
          <w:bCs w:val="0"/>
          <w:color w:val="auto"/>
          <w:highlight w:val="none"/>
        </w:rPr>
        <w:t>依法缴纳税收和社会保障资金的相关材料：提供2026年任意一个月的纳税证明和社保缴纳证明，或承诺书，加盖供应商单位公章</w:t>
      </w:r>
      <w:r>
        <w:rPr>
          <w:rFonts w:hint="eastAsia" w:ascii="宋体" w:hAnsi="宋体" w:eastAsia="宋体" w:cs="宋体"/>
          <w:b w:val="0"/>
          <w:bCs w:val="0"/>
          <w:color w:val="auto"/>
          <w:highlight w:val="none"/>
          <w:lang w:eastAsia="zh-CN"/>
        </w:rPr>
        <w:t>。</w:t>
      </w:r>
    </w:p>
    <w:p w14:paraId="01025951">
      <w:pPr>
        <w:widowControl/>
        <w:numPr>
          <w:ilvl w:val="0"/>
          <w:numId w:val="0"/>
        </w:numPr>
        <w:adjustRightInd w:val="0"/>
        <w:snapToGrid w:val="0"/>
        <w:spacing w:line="324" w:lineRule="auto"/>
        <w:ind w:leftChars="200"/>
        <w:rPr>
          <w:rFonts w:hint="eastAsia" w:ascii="宋体" w:hAnsi="宋体" w:eastAsia="宋体" w:cs="宋体"/>
          <w:color w:val="auto"/>
          <w:highlight w:val="none"/>
          <w:u w:val="single"/>
          <w:lang w:val="en-US" w:eastAsia="zh-CN"/>
        </w:rPr>
      </w:pPr>
    </w:p>
    <w:p w14:paraId="2EE077B8">
      <w:pPr>
        <w:widowControl/>
        <w:numPr>
          <w:ilvl w:val="0"/>
          <w:numId w:val="0"/>
        </w:numPr>
        <w:adjustRightInd w:val="0"/>
        <w:snapToGrid w:val="0"/>
        <w:spacing w:line="324" w:lineRule="auto"/>
        <w:ind w:leftChars="200"/>
        <w:rPr>
          <w:rFonts w:hint="eastAsia" w:ascii="宋体" w:hAnsi="宋体" w:eastAsia="宋体" w:cs="宋体"/>
          <w:color w:val="auto"/>
          <w:highlight w:val="none"/>
          <w:u w:val="single"/>
          <w:lang w:val="en-US" w:eastAsia="zh-CN"/>
        </w:rPr>
      </w:pPr>
    </w:p>
    <w:p w14:paraId="00436BF8">
      <w:pPr>
        <w:ind w:left="0" w:leftChars="0" w:firstLine="0" w:firstLineChars="0"/>
        <w:rPr>
          <w:rFonts w:hint="eastAsia" w:ascii="宋体" w:hAnsi="宋体" w:eastAsia="宋体" w:cs="宋体"/>
          <w:color w:val="auto"/>
          <w:highlight w:val="none"/>
          <w:shd w:val="clear" w:color="auto" w:fill="FFFFFF"/>
        </w:rPr>
      </w:pPr>
    </w:p>
    <w:p w14:paraId="0B44D2A2">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auto"/>
          <w:sz w:val="32"/>
          <w:szCs w:val="32"/>
          <w:highlight w:val="none"/>
          <w:u w:val="none"/>
          <w:lang w:val="en-US" w:eastAsia="zh-CN"/>
        </w:rPr>
        <w:t>具有依法缴纳税收和社会保障资金的良好记录的承诺书</w:t>
      </w:r>
    </w:p>
    <w:p w14:paraId="5DF27931">
      <w:pPr>
        <w:ind w:left="0" w:leftChars="0" w:firstLine="0" w:firstLineChars="0"/>
        <w:rPr>
          <w:rFonts w:hint="eastAsia" w:ascii="宋体" w:hAnsi="宋体" w:eastAsia="宋体" w:cs="宋体"/>
          <w:color w:val="auto"/>
          <w:highlight w:val="none"/>
          <w:shd w:val="clear" w:color="auto" w:fill="FFFFFF"/>
        </w:rPr>
      </w:pPr>
    </w:p>
    <w:p w14:paraId="00DED2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20C7F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09C2898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我公司具有依法缴纳税收和社会保障资金的良好记录。若发现我方上述与事实不符，愿按照招标相关法律法规接受相关处罚。</w:t>
      </w:r>
    </w:p>
    <w:p w14:paraId="495FAB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1903FD1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544D32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97688C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12B6FF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响应供应商名称：（</w:t>
      </w:r>
      <w:r>
        <w:rPr>
          <w:rFonts w:hint="eastAsia" w:ascii="宋体" w:hAnsi="宋体" w:eastAsia="宋体" w:cs="宋体"/>
          <w:color w:val="auto"/>
          <w:highlight w:val="none"/>
          <w:u w:val="single"/>
          <w:shd w:val="clear" w:color="auto" w:fill="FFFFFF"/>
          <w:lang w:val="en-US" w:eastAsia="zh-CN"/>
        </w:rPr>
        <w:t>响应供应商名称）</w:t>
      </w:r>
      <w:r>
        <w:rPr>
          <w:rFonts w:hint="eastAsia" w:ascii="宋体" w:hAnsi="宋体" w:eastAsia="宋体" w:cs="宋体"/>
          <w:color w:val="auto"/>
          <w:highlight w:val="none"/>
          <w:u w:val="none"/>
          <w:shd w:val="clear" w:color="auto" w:fill="FFFFFF"/>
          <w:lang w:val="en-US" w:eastAsia="zh-CN"/>
        </w:rPr>
        <w:t>（盖章）</w:t>
      </w:r>
    </w:p>
    <w:p w14:paraId="5DD4316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D24403D">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234B031A">
      <w:pPr>
        <w:ind w:left="0" w:leftChars="0" w:firstLine="0" w:firstLineChars="0"/>
        <w:rPr>
          <w:rFonts w:hint="eastAsia" w:ascii="宋体" w:hAnsi="宋体" w:eastAsia="宋体" w:cs="宋体"/>
          <w:color w:val="auto"/>
          <w:highlight w:val="none"/>
          <w:shd w:val="clear" w:color="auto" w:fill="FFFFFF"/>
        </w:rPr>
      </w:pPr>
    </w:p>
    <w:p w14:paraId="7D4CAB73">
      <w:pPr>
        <w:ind w:left="0" w:leftChars="0" w:firstLine="0" w:firstLineChars="0"/>
        <w:rPr>
          <w:rFonts w:hint="eastAsia" w:ascii="宋体" w:hAnsi="宋体" w:eastAsia="宋体" w:cs="宋体"/>
          <w:color w:val="auto"/>
          <w:highlight w:val="none"/>
          <w:shd w:val="clear" w:color="auto" w:fill="FFFFFF"/>
        </w:rPr>
      </w:pPr>
    </w:p>
    <w:p w14:paraId="4AAFD360">
      <w:pPr>
        <w:ind w:left="0" w:leftChars="0" w:firstLine="0" w:firstLineChars="0"/>
        <w:rPr>
          <w:rFonts w:hint="eastAsia" w:ascii="宋体" w:hAnsi="宋体" w:eastAsia="宋体" w:cs="宋体"/>
          <w:color w:val="auto"/>
          <w:highlight w:val="none"/>
          <w:shd w:val="clear" w:color="auto" w:fill="FFFFFF"/>
        </w:rPr>
      </w:pPr>
    </w:p>
    <w:p w14:paraId="4BB6DD0B">
      <w:pPr>
        <w:ind w:left="0" w:leftChars="0" w:firstLine="0" w:firstLineChars="0"/>
        <w:rPr>
          <w:rFonts w:hint="eastAsia" w:ascii="宋体" w:hAnsi="宋体" w:eastAsia="宋体" w:cs="宋体"/>
          <w:color w:val="auto"/>
          <w:highlight w:val="none"/>
          <w:shd w:val="clear" w:color="auto" w:fill="FFFFFF"/>
        </w:rPr>
      </w:pPr>
    </w:p>
    <w:p w14:paraId="41D6234C">
      <w:pPr>
        <w:ind w:left="0" w:leftChars="0" w:firstLine="0" w:firstLineChars="0"/>
        <w:rPr>
          <w:rFonts w:hint="eastAsia" w:ascii="宋体" w:hAnsi="宋体" w:eastAsia="宋体" w:cs="宋体"/>
          <w:color w:val="auto"/>
          <w:highlight w:val="none"/>
          <w:shd w:val="clear" w:color="auto" w:fill="FFFFFF"/>
        </w:rPr>
      </w:pPr>
    </w:p>
    <w:p w14:paraId="43088C6C">
      <w:pPr>
        <w:ind w:left="0" w:leftChars="0" w:firstLine="0" w:firstLineChars="0"/>
        <w:rPr>
          <w:rFonts w:hint="eastAsia" w:ascii="宋体" w:hAnsi="宋体" w:eastAsia="宋体" w:cs="宋体"/>
          <w:color w:val="auto"/>
          <w:highlight w:val="none"/>
          <w:shd w:val="clear" w:color="auto" w:fill="FFFFFF"/>
        </w:rPr>
      </w:pPr>
    </w:p>
    <w:p w14:paraId="26A07BCE">
      <w:pPr>
        <w:ind w:left="0" w:leftChars="0" w:firstLine="0" w:firstLineChars="0"/>
        <w:rPr>
          <w:rFonts w:hint="eastAsia" w:ascii="宋体" w:hAnsi="宋体" w:eastAsia="宋体" w:cs="宋体"/>
          <w:color w:val="auto"/>
          <w:highlight w:val="none"/>
          <w:shd w:val="clear" w:color="auto" w:fill="FFFFFF"/>
        </w:rPr>
      </w:pPr>
    </w:p>
    <w:p w14:paraId="033030F8">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14:paraId="77C7C131">
      <w:pPr>
        <w:numPr>
          <w:ilvl w:val="0"/>
          <w:numId w:val="0"/>
        </w:numPr>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color w:val="auto"/>
          <w:highlight w:val="none"/>
        </w:rPr>
        <w:t>具有良好的商业信誉和健全的财务会计制度：提供2024年度或2025年度经第三方审计的财务报告或基本开户银行出具和社的资信证明，或承诺书，加盖供应商单位公章）；</w:t>
      </w:r>
    </w:p>
    <w:p w14:paraId="0737ED53">
      <w:pPr>
        <w:widowControl w:val="0"/>
        <w:numPr>
          <w:ilvl w:val="0"/>
          <w:numId w:val="0"/>
        </w:numPr>
        <w:spacing w:line="360" w:lineRule="auto"/>
        <w:rPr>
          <w:rFonts w:hint="eastAsia" w:ascii="宋体" w:hAnsi="宋体" w:eastAsia="宋体" w:cs="宋体"/>
          <w:b w:val="0"/>
          <w:bCs w:val="0"/>
          <w:color w:val="auto"/>
          <w:highlight w:val="none"/>
        </w:rPr>
      </w:pPr>
    </w:p>
    <w:p w14:paraId="580782A3">
      <w:pPr>
        <w:widowControl w:val="0"/>
        <w:numPr>
          <w:ilvl w:val="0"/>
          <w:numId w:val="0"/>
        </w:numPr>
        <w:spacing w:line="360" w:lineRule="auto"/>
        <w:rPr>
          <w:rFonts w:hint="eastAsia" w:ascii="宋体" w:hAnsi="宋体" w:eastAsia="宋体" w:cs="宋体"/>
          <w:b w:val="0"/>
          <w:bCs w:val="0"/>
          <w:color w:val="auto"/>
          <w:highlight w:val="none"/>
        </w:rPr>
      </w:pPr>
    </w:p>
    <w:p w14:paraId="29ACCCA0">
      <w:pPr>
        <w:widowControl w:val="0"/>
        <w:numPr>
          <w:ilvl w:val="0"/>
          <w:numId w:val="0"/>
        </w:numPr>
        <w:spacing w:line="360" w:lineRule="auto"/>
        <w:rPr>
          <w:rFonts w:hint="eastAsia" w:ascii="宋体" w:hAnsi="宋体" w:eastAsia="宋体" w:cs="宋体"/>
          <w:b w:val="0"/>
          <w:bCs w:val="0"/>
          <w:color w:val="auto"/>
          <w:highlight w:val="none"/>
        </w:rPr>
      </w:pPr>
    </w:p>
    <w:p w14:paraId="25BDEA4D">
      <w:pPr>
        <w:widowControl w:val="0"/>
        <w:numPr>
          <w:ilvl w:val="0"/>
          <w:numId w:val="0"/>
        </w:numPr>
        <w:spacing w:line="360" w:lineRule="auto"/>
        <w:rPr>
          <w:rFonts w:hint="eastAsia" w:ascii="宋体" w:hAnsi="宋体" w:eastAsia="宋体" w:cs="宋体"/>
          <w:b w:val="0"/>
          <w:bCs w:val="0"/>
          <w:color w:val="auto"/>
          <w:highlight w:val="none"/>
        </w:rPr>
      </w:pPr>
    </w:p>
    <w:p w14:paraId="79789684">
      <w:pPr>
        <w:widowControl w:val="0"/>
        <w:numPr>
          <w:ilvl w:val="0"/>
          <w:numId w:val="0"/>
        </w:numPr>
        <w:spacing w:line="360" w:lineRule="auto"/>
        <w:rPr>
          <w:rFonts w:hint="eastAsia" w:ascii="宋体" w:hAnsi="宋体" w:eastAsia="宋体" w:cs="宋体"/>
          <w:b w:val="0"/>
          <w:bCs w:val="0"/>
          <w:color w:val="auto"/>
          <w:highlight w:val="none"/>
        </w:rPr>
      </w:pPr>
    </w:p>
    <w:p w14:paraId="7A2470C7">
      <w:pPr>
        <w:widowControl w:val="0"/>
        <w:numPr>
          <w:ilvl w:val="0"/>
          <w:numId w:val="0"/>
        </w:numPr>
        <w:spacing w:line="360" w:lineRule="auto"/>
        <w:rPr>
          <w:rFonts w:hint="eastAsia" w:ascii="宋体" w:hAnsi="宋体" w:eastAsia="宋体" w:cs="宋体"/>
          <w:b w:val="0"/>
          <w:bCs w:val="0"/>
          <w:color w:val="auto"/>
          <w:highlight w:val="none"/>
        </w:rPr>
      </w:pPr>
    </w:p>
    <w:p w14:paraId="111ED9C1">
      <w:pPr>
        <w:widowControl w:val="0"/>
        <w:numPr>
          <w:ilvl w:val="0"/>
          <w:numId w:val="0"/>
        </w:numPr>
        <w:spacing w:line="360" w:lineRule="auto"/>
        <w:rPr>
          <w:rFonts w:hint="eastAsia" w:ascii="宋体" w:hAnsi="宋体" w:eastAsia="宋体" w:cs="宋体"/>
          <w:b w:val="0"/>
          <w:bCs w:val="0"/>
          <w:color w:val="auto"/>
          <w:highlight w:val="none"/>
        </w:rPr>
      </w:pPr>
    </w:p>
    <w:p w14:paraId="5A4F657D">
      <w:pPr>
        <w:widowControl w:val="0"/>
        <w:numPr>
          <w:ilvl w:val="0"/>
          <w:numId w:val="0"/>
        </w:numPr>
        <w:spacing w:line="360" w:lineRule="auto"/>
        <w:rPr>
          <w:rFonts w:hint="eastAsia" w:ascii="宋体" w:hAnsi="宋体" w:eastAsia="宋体" w:cs="宋体"/>
          <w:b w:val="0"/>
          <w:bCs w:val="0"/>
          <w:color w:val="auto"/>
          <w:highlight w:val="none"/>
        </w:rPr>
      </w:pPr>
    </w:p>
    <w:p w14:paraId="674975A5">
      <w:pPr>
        <w:widowControl w:val="0"/>
        <w:numPr>
          <w:ilvl w:val="0"/>
          <w:numId w:val="0"/>
        </w:numPr>
        <w:spacing w:line="360" w:lineRule="auto"/>
        <w:rPr>
          <w:rFonts w:hint="eastAsia" w:ascii="宋体" w:hAnsi="宋体" w:eastAsia="宋体" w:cs="宋体"/>
          <w:b w:val="0"/>
          <w:bCs w:val="0"/>
          <w:color w:val="auto"/>
          <w:highlight w:val="none"/>
        </w:rPr>
      </w:pPr>
    </w:p>
    <w:p w14:paraId="7EBEFEB9">
      <w:pPr>
        <w:widowControl w:val="0"/>
        <w:numPr>
          <w:ilvl w:val="0"/>
          <w:numId w:val="0"/>
        </w:numPr>
        <w:spacing w:line="360" w:lineRule="auto"/>
        <w:rPr>
          <w:rFonts w:hint="eastAsia" w:ascii="宋体" w:hAnsi="宋体" w:eastAsia="宋体" w:cs="宋体"/>
          <w:b w:val="0"/>
          <w:bCs w:val="0"/>
          <w:color w:val="auto"/>
          <w:highlight w:val="none"/>
        </w:rPr>
      </w:pPr>
    </w:p>
    <w:p w14:paraId="57E44FB9">
      <w:pPr>
        <w:widowControl w:val="0"/>
        <w:numPr>
          <w:ilvl w:val="0"/>
          <w:numId w:val="0"/>
        </w:numPr>
        <w:spacing w:line="360" w:lineRule="auto"/>
        <w:rPr>
          <w:rFonts w:hint="eastAsia" w:ascii="宋体" w:hAnsi="宋体" w:eastAsia="宋体" w:cs="宋体"/>
          <w:b w:val="0"/>
          <w:bCs w:val="0"/>
          <w:color w:val="auto"/>
          <w:highlight w:val="none"/>
        </w:rPr>
      </w:pPr>
    </w:p>
    <w:p w14:paraId="4687A1A0">
      <w:pPr>
        <w:widowControl w:val="0"/>
        <w:numPr>
          <w:ilvl w:val="0"/>
          <w:numId w:val="0"/>
        </w:numPr>
        <w:spacing w:line="360" w:lineRule="auto"/>
        <w:rPr>
          <w:rFonts w:hint="eastAsia" w:ascii="宋体" w:hAnsi="宋体" w:eastAsia="宋体" w:cs="宋体"/>
          <w:b w:val="0"/>
          <w:bCs w:val="0"/>
          <w:color w:val="auto"/>
          <w:highlight w:val="none"/>
        </w:rPr>
      </w:pPr>
    </w:p>
    <w:p w14:paraId="04B4384B">
      <w:pPr>
        <w:widowControl w:val="0"/>
        <w:numPr>
          <w:ilvl w:val="0"/>
          <w:numId w:val="0"/>
        </w:numPr>
        <w:spacing w:line="360" w:lineRule="auto"/>
        <w:rPr>
          <w:rFonts w:hint="eastAsia" w:ascii="宋体" w:hAnsi="宋体" w:eastAsia="宋体" w:cs="宋体"/>
          <w:b w:val="0"/>
          <w:bCs w:val="0"/>
          <w:color w:val="auto"/>
          <w:highlight w:val="none"/>
        </w:rPr>
      </w:pPr>
    </w:p>
    <w:p w14:paraId="6DFBB850">
      <w:pPr>
        <w:widowControl w:val="0"/>
        <w:numPr>
          <w:ilvl w:val="0"/>
          <w:numId w:val="0"/>
        </w:numPr>
        <w:spacing w:line="360" w:lineRule="auto"/>
        <w:rPr>
          <w:rFonts w:hint="eastAsia" w:ascii="宋体" w:hAnsi="宋体" w:eastAsia="宋体" w:cs="宋体"/>
          <w:b w:val="0"/>
          <w:bCs w:val="0"/>
          <w:color w:val="auto"/>
          <w:highlight w:val="none"/>
        </w:rPr>
      </w:pPr>
    </w:p>
    <w:p w14:paraId="64B28B41">
      <w:pPr>
        <w:widowControl w:val="0"/>
        <w:numPr>
          <w:ilvl w:val="0"/>
          <w:numId w:val="0"/>
        </w:numPr>
        <w:spacing w:line="360" w:lineRule="auto"/>
        <w:rPr>
          <w:rFonts w:hint="eastAsia" w:ascii="宋体" w:hAnsi="宋体" w:eastAsia="宋体" w:cs="宋体"/>
          <w:b w:val="0"/>
          <w:bCs w:val="0"/>
          <w:color w:val="auto"/>
          <w:highlight w:val="none"/>
        </w:rPr>
      </w:pPr>
    </w:p>
    <w:p w14:paraId="4F72DDB3">
      <w:pPr>
        <w:widowControl w:val="0"/>
        <w:numPr>
          <w:ilvl w:val="0"/>
          <w:numId w:val="0"/>
        </w:numPr>
        <w:spacing w:line="360" w:lineRule="auto"/>
        <w:rPr>
          <w:rFonts w:hint="eastAsia" w:ascii="宋体" w:hAnsi="宋体" w:eastAsia="宋体" w:cs="宋体"/>
          <w:b w:val="0"/>
          <w:bCs w:val="0"/>
          <w:color w:val="auto"/>
          <w:highlight w:val="none"/>
        </w:rPr>
      </w:pPr>
    </w:p>
    <w:p w14:paraId="368AD990">
      <w:pPr>
        <w:widowControl w:val="0"/>
        <w:numPr>
          <w:ilvl w:val="0"/>
          <w:numId w:val="0"/>
        </w:numPr>
        <w:spacing w:line="360" w:lineRule="auto"/>
        <w:rPr>
          <w:rFonts w:hint="eastAsia" w:ascii="宋体" w:hAnsi="宋体" w:eastAsia="宋体" w:cs="宋体"/>
          <w:b w:val="0"/>
          <w:bCs w:val="0"/>
          <w:color w:val="auto"/>
          <w:highlight w:val="none"/>
        </w:rPr>
      </w:pPr>
    </w:p>
    <w:p w14:paraId="782C85FC">
      <w:pPr>
        <w:widowControl w:val="0"/>
        <w:numPr>
          <w:ilvl w:val="0"/>
          <w:numId w:val="0"/>
        </w:numPr>
        <w:spacing w:line="360" w:lineRule="auto"/>
        <w:rPr>
          <w:rFonts w:hint="eastAsia" w:ascii="宋体" w:hAnsi="宋体" w:eastAsia="宋体" w:cs="宋体"/>
          <w:b w:val="0"/>
          <w:bCs w:val="0"/>
          <w:color w:val="auto"/>
          <w:highlight w:val="none"/>
        </w:rPr>
      </w:pPr>
    </w:p>
    <w:p w14:paraId="4449EACD">
      <w:pPr>
        <w:widowControl w:val="0"/>
        <w:numPr>
          <w:ilvl w:val="0"/>
          <w:numId w:val="0"/>
        </w:numPr>
        <w:spacing w:line="360" w:lineRule="auto"/>
        <w:rPr>
          <w:rFonts w:hint="eastAsia" w:ascii="宋体" w:hAnsi="宋体" w:eastAsia="宋体" w:cs="宋体"/>
          <w:b w:val="0"/>
          <w:bCs w:val="0"/>
          <w:color w:val="auto"/>
          <w:highlight w:val="none"/>
        </w:rPr>
      </w:pPr>
    </w:p>
    <w:p w14:paraId="2881F7E4">
      <w:pPr>
        <w:widowControl w:val="0"/>
        <w:numPr>
          <w:ilvl w:val="0"/>
          <w:numId w:val="0"/>
        </w:numPr>
        <w:spacing w:line="360" w:lineRule="auto"/>
        <w:rPr>
          <w:rFonts w:hint="eastAsia" w:ascii="宋体" w:hAnsi="宋体" w:eastAsia="宋体" w:cs="宋体"/>
          <w:b w:val="0"/>
          <w:bCs w:val="0"/>
          <w:color w:val="auto"/>
          <w:highlight w:val="none"/>
        </w:rPr>
      </w:pPr>
    </w:p>
    <w:p w14:paraId="70B51BF0">
      <w:pPr>
        <w:widowControl w:val="0"/>
        <w:numPr>
          <w:ilvl w:val="0"/>
          <w:numId w:val="0"/>
        </w:numPr>
        <w:spacing w:line="360" w:lineRule="auto"/>
        <w:rPr>
          <w:rFonts w:hint="eastAsia" w:ascii="宋体" w:hAnsi="宋体" w:eastAsia="宋体" w:cs="宋体"/>
          <w:b w:val="0"/>
          <w:bCs w:val="0"/>
          <w:color w:val="auto"/>
          <w:highlight w:val="none"/>
        </w:rPr>
      </w:pPr>
    </w:p>
    <w:p w14:paraId="0F832963">
      <w:pPr>
        <w:widowControl w:val="0"/>
        <w:numPr>
          <w:ilvl w:val="0"/>
          <w:numId w:val="0"/>
        </w:numPr>
        <w:spacing w:line="360" w:lineRule="auto"/>
        <w:rPr>
          <w:rFonts w:hint="eastAsia" w:ascii="宋体" w:hAnsi="宋体" w:eastAsia="宋体" w:cs="宋体"/>
          <w:b w:val="0"/>
          <w:bCs w:val="0"/>
          <w:color w:val="auto"/>
          <w:highlight w:val="none"/>
        </w:rPr>
      </w:pPr>
    </w:p>
    <w:p w14:paraId="340D13B3">
      <w:pPr>
        <w:widowControl w:val="0"/>
        <w:numPr>
          <w:ilvl w:val="0"/>
          <w:numId w:val="0"/>
        </w:numPr>
        <w:spacing w:line="360" w:lineRule="auto"/>
        <w:rPr>
          <w:rFonts w:hint="eastAsia" w:ascii="宋体" w:hAnsi="宋体" w:eastAsia="宋体" w:cs="宋体"/>
          <w:b w:val="0"/>
          <w:bCs w:val="0"/>
          <w:color w:val="auto"/>
          <w:highlight w:val="none"/>
        </w:rPr>
      </w:pPr>
    </w:p>
    <w:p w14:paraId="7D5E21CC">
      <w:pPr>
        <w:widowControl w:val="0"/>
        <w:numPr>
          <w:ilvl w:val="0"/>
          <w:numId w:val="0"/>
        </w:numPr>
        <w:spacing w:line="360" w:lineRule="auto"/>
        <w:rPr>
          <w:rFonts w:hint="eastAsia" w:ascii="宋体" w:hAnsi="宋体" w:eastAsia="宋体" w:cs="宋体"/>
          <w:b w:val="0"/>
          <w:bCs w:val="0"/>
          <w:color w:val="auto"/>
          <w:highlight w:val="none"/>
        </w:rPr>
      </w:pPr>
    </w:p>
    <w:p w14:paraId="5F694020">
      <w:pPr>
        <w:widowControl w:val="0"/>
        <w:numPr>
          <w:ilvl w:val="0"/>
          <w:numId w:val="0"/>
        </w:numPr>
        <w:spacing w:line="360" w:lineRule="auto"/>
        <w:rPr>
          <w:rFonts w:hint="eastAsia" w:ascii="宋体" w:hAnsi="宋体" w:eastAsia="宋体" w:cs="宋体"/>
          <w:b w:val="0"/>
          <w:bCs w:val="0"/>
          <w:color w:val="auto"/>
          <w:highlight w:val="none"/>
        </w:rPr>
      </w:pPr>
    </w:p>
    <w:p w14:paraId="4F63D6F9">
      <w:pPr>
        <w:widowControl w:val="0"/>
        <w:numPr>
          <w:ilvl w:val="0"/>
          <w:numId w:val="0"/>
        </w:numPr>
        <w:spacing w:line="360" w:lineRule="auto"/>
        <w:rPr>
          <w:rFonts w:hint="eastAsia" w:ascii="宋体" w:hAnsi="宋体" w:eastAsia="宋体" w:cs="宋体"/>
          <w:b w:val="0"/>
          <w:bCs w:val="0"/>
          <w:color w:val="auto"/>
          <w:highlight w:val="none"/>
        </w:rPr>
      </w:pPr>
    </w:p>
    <w:p w14:paraId="73E12F89">
      <w:pPr>
        <w:widowControl w:val="0"/>
        <w:numPr>
          <w:ilvl w:val="0"/>
          <w:numId w:val="0"/>
        </w:numPr>
        <w:spacing w:line="360" w:lineRule="auto"/>
        <w:rPr>
          <w:rFonts w:hint="eastAsia" w:ascii="宋体" w:hAnsi="宋体" w:eastAsia="宋体" w:cs="宋体"/>
          <w:b w:val="0"/>
          <w:bCs w:val="0"/>
          <w:color w:val="auto"/>
          <w:highlight w:val="none"/>
        </w:rPr>
      </w:pPr>
    </w:p>
    <w:p w14:paraId="336442E5">
      <w:pPr>
        <w:widowControl w:val="0"/>
        <w:numPr>
          <w:ilvl w:val="0"/>
          <w:numId w:val="0"/>
        </w:numPr>
        <w:spacing w:line="360" w:lineRule="auto"/>
        <w:rPr>
          <w:rFonts w:hint="eastAsia" w:ascii="宋体" w:hAnsi="宋体" w:eastAsia="宋体" w:cs="宋体"/>
          <w:b w:val="0"/>
          <w:bCs w:val="0"/>
          <w:color w:val="auto"/>
          <w:highlight w:val="none"/>
        </w:rPr>
      </w:pPr>
    </w:p>
    <w:p w14:paraId="638325D8">
      <w:pPr>
        <w:numPr>
          <w:ilvl w:val="0"/>
          <w:numId w:val="0"/>
        </w:numPr>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highlight w:val="none"/>
        </w:rPr>
        <w:t>参加本次</w:t>
      </w:r>
      <w:r>
        <w:rPr>
          <w:rFonts w:hint="eastAsia" w:ascii="宋体" w:hAnsi="宋体" w:eastAsia="宋体" w:cs="宋体"/>
          <w:b w:val="0"/>
          <w:bCs w:val="0"/>
          <w:color w:val="auto"/>
          <w:highlight w:val="none"/>
          <w:lang w:eastAsia="zh-CN"/>
        </w:rPr>
        <w:t>采购</w:t>
      </w:r>
      <w:r>
        <w:rPr>
          <w:rFonts w:hint="eastAsia" w:ascii="宋体" w:hAnsi="宋体" w:eastAsia="宋体" w:cs="宋体"/>
          <w:b w:val="0"/>
          <w:bCs w:val="0"/>
          <w:color w:val="auto"/>
          <w:highlight w:val="none"/>
        </w:rPr>
        <w:t>活动前三年内，在经营活动中没有违法违规记录：提供参加</w:t>
      </w:r>
      <w:r>
        <w:rPr>
          <w:rFonts w:hint="eastAsia" w:ascii="宋体" w:hAnsi="宋体" w:eastAsia="宋体" w:cs="宋体"/>
          <w:b w:val="0"/>
          <w:bCs w:val="0"/>
          <w:color w:val="auto"/>
          <w:highlight w:val="none"/>
          <w:lang w:eastAsia="zh-CN"/>
        </w:rPr>
        <w:t>采购</w:t>
      </w:r>
      <w:r>
        <w:rPr>
          <w:rFonts w:hint="eastAsia" w:ascii="宋体" w:hAnsi="宋体" w:eastAsia="宋体" w:cs="宋体"/>
          <w:b w:val="0"/>
          <w:bCs w:val="0"/>
          <w:color w:val="auto"/>
          <w:highlight w:val="none"/>
        </w:rPr>
        <w:t>活动前3年内在经营活动中没有重大违法记录的书面声明；</w:t>
      </w:r>
    </w:p>
    <w:p w14:paraId="6C666603">
      <w:pPr>
        <w:widowControl w:val="0"/>
        <w:numPr>
          <w:ilvl w:val="0"/>
          <w:numId w:val="0"/>
        </w:numPr>
        <w:spacing w:line="360" w:lineRule="auto"/>
        <w:rPr>
          <w:rFonts w:hint="eastAsia" w:ascii="宋体" w:hAnsi="宋体" w:eastAsia="宋体" w:cs="宋体"/>
          <w:b w:val="0"/>
          <w:bCs w:val="0"/>
          <w:color w:val="auto"/>
          <w:highlight w:val="none"/>
        </w:rPr>
      </w:pPr>
    </w:p>
    <w:p w14:paraId="649B3F04">
      <w:pPr>
        <w:widowControl w:val="0"/>
        <w:numPr>
          <w:ilvl w:val="0"/>
          <w:numId w:val="0"/>
        </w:numPr>
        <w:spacing w:line="360" w:lineRule="auto"/>
        <w:rPr>
          <w:rFonts w:hint="eastAsia" w:ascii="宋体" w:hAnsi="宋体" w:eastAsia="宋体" w:cs="宋体"/>
          <w:b w:val="0"/>
          <w:bCs w:val="0"/>
          <w:color w:val="auto"/>
          <w:highlight w:val="none"/>
        </w:rPr>
      </w:pPr>
    </w:p>
    <w:p w14:paraId="5DFF8E5E">
      <w:pPr>
        <w:widowControl w:val="0"/>
        <w:numPr>
          <w:ilvl w:val="0"/>
          <w:numId w:val="0"/>
        </w:numPr>
        <w:spacing w:line="360" w:lineRule="auto"/>
        <w:rPr>
          <w:rFonts w:hint="eastAsia" w:ascii="宋体" w:hAnsi="宋体" w:eastAsia="宋体" w:cs="宋体"/>
          <w:b w:val="0"/>
          <w:bCs w:val="0"/>
          <w:color w:val="auto"/>
          <w:highlight w:val="none"/>
        </w:rPr>
      </w:pPr>
    </w:p>
    <w:p w14:paraId="3ECD356F">
      <w:pPr>
        <w:widowControl w:val="0"/>
        <w:numPr>
          <w:ilvl w:val="0"/>
          <w:numId w:val="0"/>
        </w:numPr>
        <w:spacing w:line="360" w:lineRule="auto"/>
        <w:rPr>
          <w:rFonts w:hint="eastAsia" w:ascii="宋体" w:hAnsi="宋体" w:eastAsia="宋体" w:cs="宋体"/>
          <w:b w:val="0"/>
          <w:bCs w:val="0"/>
          <w:color w:val="auto"/>
          <w:highlight w:val="none"/>
        </w:rPr>
      </w:pPr>
    </w:p>
    <w:p w14:paraId="18501F9F">
      <w:pPr>
        <w:widowControl w:val="0"/>
        <w:numPr>
          <w:ilvl w:val="0"/>
          <w:numId w:val="0"/>
        </w:numPr>
        <w:spacing w:line="360" w:lineRule="auto"/>
        <w:rPr>
          <w:rFonts w:hint="eastAsia" w:ascii="宋体" w:hAnsi="宋体" w:eastAsia="宋体" w:cs="宋体"/>
          <w:b w:val="0"/>
          <w:bCs w:val="0"/>
          <w:color w:val="auto"/>
          <w:highlight w:val="none"/>
        </w:rPr>
      </w:pPr>
    </w:p>
    <w:p w14:paraId="3660368F">
      <w:pPr>
        <w:widowControl w:val="0"/>
        <w:numPr>
          <w:ilvl w:val="0"/>
          <w:numId w:val="0"/>
        </w:numPr>
        <w:spacing w:line="360" w:lineRule="auto"/>
        <w:rPr>
          <w:rFonts w:hint="eastAsia" w:ascii="宋体" w:hAnsi="宋体" w:eastAsia="宋体" w:cs="宋体"/>
          <w:b w:val="0"/>
          <w:bCs w:val="0"/>
          <w:color w:val="auto"/>
          <w:highlight w:val="none"/>
        </w:rPr>
      </w:pPr>
    </w:p>
    <w:p w14:paraId="7C78FC99">
      <w:pPr>
        <w:widowControl w:val="0"/>
        <w:numPr>
          <w:ilvl w:val="0"/>
          <w:numId w:val="0"/>
        </w:numPr>
        <w:spacing w:line="360" w:lineRule="auto"/>
        <w:rPr>
          <w:rFonts w:hint="eastAsia" w:ascii="宋体" w:hAnsi="宋体" w:eastAsia="宋体" w:cs="宋体"/>
          <w:b w:val="0"/>
          <w:bCs w:val="0"/>
          <w:color w:val="auto"/>
          <w:highlight w:val="none"/>
        </w:rPr>
      </w:pPr>
    </w:p>
    <w:p w14:paraId="23E101AC">
      <w:pPr>
        <w:widowControl w:val="0"/>
        <w:numPr>
          <w:ilvl w:val="0"/>
          <w:numId w:val="0"/>
        </w:numPr>
        <w:spacing w:line="360" w:lineRule="auto"/>
        <w:rPr>
          <w:rFonts w:hint="eastAsia" w:ascii="宋体" w:hAnsi="宋体" w:eastAsia="宋体" w:cs="宋体"/>
          <w:b w:val="0"/>
          <w:bCs w:val="0"/>
          <w:color w:val="auto"/>
          <w:highlight w:val="none"/>
        </w:rPr>
      </w:pPr>
    </w:p>
    <w:p w14:paraId="0607E0DC">
      <w:pPr>
        <w:widowControl w:val="0"/>
        <w:numPr>
          <w:ilvl w:val="0"/>
          <w:numId w:val="0"/>
        </w:numPr>
        <w:spacing w:line="360" w:lineRule="auto"/>
        <w:rPr>
          <w:rFonts w:hint="eastAsia" w:ascii="宋体" w:hAnsi="宋体" w:eastAsia="宋体" w:cs="宋体"/>
          <w:b w:val="0"/>
          <w:bCs w:val="0"/>
          <w:color w:val="auto"/>
          <w:highlight w:val="none"/>
        </w:rPr>
      </w:pPr>
    </w:p>
    <w:p w14:paraId="5B1A8DD6">
      <w:pPr>
        <w:widowControl w:val="0"/>
        <w:numPr>
          <w:ilvl w:val="0"/>
          <w:numId w:val="0"/>
        </w:numPr>
        <w:spacing w:line="360" w:lineRule="auto"/>
        <w:rPr>
          <w:rFonts w:hint="eastAsia" w:ascii="宋体" w:hAnsi="宋体" w:eastAsia="宋体" w:cs="宋体"/>
          <w:b w:val="0"/>
          <w:bCs w:val="0"/>
          <w:color w:val="auto"/>
          <w:highlight w:val="none"/>
        </w:rPr>
      </w:pPr>
    </w:p>
    <w:p w14:paraId="08DEF180">
      <w:pPr>
        <w:widowControl w:val="0"/>
        <w:numPr>
          <w:ilvl w:val="0"/>
          <w:numId w:val="0"/>
        </w:numPr>
        <w:spacing w:line="360" w:lineRule="auto"/>
        <w:rPr>
          <w:rFonts w:hint="eastAsia" w:ascii="宋体" w:hAnsi="宋体" w:eastAsia="宋体" w:cs="宋体"/>
          <w:b w:val="0"/>
          <w:bCs w:val="0"/>
          <w:color w:val="auto"/>
          <w:highlight w:val="none"/>
        </w:rPr>
      </w:pPr>
    </w:p>
    <w:p w14:paraId="4A110CFA">
      <w:pPr>
        <w:widowControl w:val="0"/>
        <w:numPr>
          <w:ilvl w:val="0"/>
          <w:numId w:val="0"/>
        </w:numPr>
        <w:spacing w:line="360" w:lineRule="auto"/>
        <w:rPr>
          <w:rFonts w:hint="eastAsia" w:ascii="宋体" w:hAnsi="宋体" w:eastAsia="宋体" w:cs="宋体"/>
          <w:b w:val="0"/>
          <w:bCs w:val="0"/>
          <w:color w:val="auto"/>
          <w:highlight w:val="none"/>
        </w:rPr>
      </w:pPr>
    </w:p>
    <w:p w14:paraId="6E7389B1">
      <w:pPr>
        <w:widowControl w:val="0"/>
        <w:numPr>
          <w:ilvl w:val="0"/>
          <w:numId w:val="0"/>
        </w:numPr>
        <w:spacing w:line="360" w:lineRule="auto"/>
        <w:rPr>
          <w:rFonts w:hint="eastAsia" w:ascii="宋体" w:hAnsi="宋体" w:eastAsia="宋体" w:cs="宋体"/>
          <w:b w:val="0"/>
          <w:bCs w:val="0"/>
          <w:color w:val="auto"/>
          <w:highlight w:val="none"/>
        </w:rPr>
      </w:pPr>
    </w:p>
    <w:p w14:paraId="094F05C2">
      <w:pPr>
        <w:widowControl w:val="0"/>
        <w:numPr>
          <w:ilvl w:val="0"/>
          <w:numId w:val="0"/>
        </w:numPr>
        <w:spacing w:line="360" w:lineRule="auto"/>
        <w:rPr>
          <w:rFonts w:hint="eastAsia" w:ascii="宋体" w:hAnsi="宋体" w:eastAsia="宋体" w:cs="宋体"/>
          <w:b w:val="0"/>
          <w:bCs w:val="0"/>
          <w:color w:val="auto"/>
          <w:highlight w:val="none"/>
        </w:rPr>
      </w:pPr>
    </w:p>
    <w:p w14:paraId="7CC6A5A2">
      <w:pPr>
        <w:widowControl w:val="0"/>
        <w:numPr>
          <w:ilvl w:val="0"/>
          <w:numId w:val="0"/>
        </w:numPr>
        <w:spacing w:line="360" w:lineRule="auto"/>
        <w:rPr>
          <w:rFonts w:hint="eastAsia" w:ascii="宋体" w:hAnsi="宋体" w:eastAsia="宋体" w:cs="宋体"/>
          <w:b w:val="0"/>
          <w:bCs w:val="0"/>
          <w:color w:val="auto"/>
          <w:highlight w:val="none"/>
        </w:rPr>
      </w:pPr>
    </w:p>
    <w:p w14:paraId="368504A5">
      <w:pPr>
        <w:widowControl w:val="0"/>
        <w:numPr>
          <w:ilvl w:val="0"/>
          <w:numId w:val="0"/>
        </w:numPr>
        <w:spacing w:line="360" w:lineRule="auto"/>
        <w:rPr>
          <w:rFonts w:hint="eastAsia" w:ascii="宋体" w:hAnsi="宋体" w:eastAsia="宋体" w:cs="宋体"/>
          <w:b w:val="0"/>
          <w:bCs w:val="0"/>
          <w:color w:val="auto"/>
          <w:highlight w:val="none"/>
        </w:rPr>
      </w:pPr>
    </w:p>
    <w:p w14:paraId="253556F6">
      <w:pPr>
        <w:widowControl w:val="0"/>
        <w:numPr>
          <w:ilvl w:val="0"/>
          <w:numId w:val="0"/>
        </w:numPr>
        <w:spacing w:line="360" w:lineRule="auto"/>
        <w:rPr>
          <w:rFonts w:hint="eastAsia" w:ascii="宋体" w:hAnsi="宋体" w:eastAsia="宋体" w:cs="宋体"/>
          <w:b w:val="0"/>
          <w:bCs w:val="0"/>
          <w:color w:val="auto"/>
          <w:highlight w:val="none"/>
        </w:rPr>
      </w:pPr>
    </w:p>
    <w:p w14:paraId="655BE119">
      <w:pPr>
        <w:widowControl w:val="0"/>
        <w:numPr>
          <w:ilvl w:val="0"/>
          <w:numId w:val="0"/>
        </w:numPr>
        <w:spacing w:line="360" w:lineRule="auto"/>
        <w:rPr>
          <w:rFonts w:hint="eastAsia" w:ascii="宋体" w:hAnsi="宋体" w:eastAsia="宋体" w:cs="宋体"/>
          <w:b w:val="0"/>
          <w:bCs w:val="0"/>
          <w:color w:val="auto"/>
          <w:highlight w:val="none"/>
        </w:rPr>
      </w:pPr>
    </w:p>
    <w:p w14:paraId="701589E1">
      <w:pPr>
        <w:widowControl w:val="0"/>
        <w:numPr>
          <w:ilvl w:val="0"/>
          <w:numId w:val="0"/>
        </w:numPr>
        <w:spacing w:line="360" w:lineRule="auto"/>
        <w:rPr>
          <w:rFonts w:hint="eastAsia" w:ascii="宋体" w:hAnsi="宋体" w:eastAsia="宋体" w:cs="宋体"/>
          <w:b w:val="0"/>
          <w:bCs w:val="0"/>
          <w:color w:val="auto"/>
          <w:highlight w:val="none"/>
        </w:rPr>
      </w:pPr>
    </w:p>
    <w:p w14:paraId="1622B7FA">
      <w:pPr>
        <w:widowControl w:val="0"/>
        <w:numPr>
          <w:ilvl w:val="0"/>
          <w:numId w:val="0"/>
        </w:numPr>
        <w:spacing w:line="360" w:lineRule="auto"/>
        <w:rPr>
          <w:rFonts w:hint="eastAsia" w:ascii="宋体" w:hAnsi="宋体" w:eastAsia="宋体" w:cs="宋体"/>
          <w:b w:val="0"/>
          <w:bCs w:val="0"/>
          <w:color w:val="auto"/>
          <w:highlight w:val="none"/>
        </w:rPr>
      </w:pPr>
    </w:p>
    <w:p w14:paraId="322671B3">
      <w:pPr>
        <w:widowControl w:val="0"/>
        <w:numPr>
          <w:ilvl w:val="0"/>
          <w:numId w:val="0"/>
        </w:numPr>
        <w:spacing w:line="360" w:lineRule="auto"/>
        <w:rPr>
          <w:rFonts w:hint="eastAsia" w:ascii="宋体" w:hAnsi="宋体" w:eastAsia="宋体" w:cs="宋体"/>
          <w:b w:val="0"/>
          <w:bCs w:val="0"/>
          <w:color w:val="auto"/>
          <w:highlight w:val="none"/>
        </w:rPr>
      </w:pPr>
    </w:p>
    <w:p w14:paraId="6DFB8C55">
      <w:pPr>
        <w:widowControl w:val="0"/>
        <w:numPr>
          <w:ilvl w:val="0"/>
          <w:numId w:val="0"/>
        </w:numPr>
        <w:spacing w:line="360" w:lineRule="auto"/>
        <w:rPr>
          <w:rFonts w:hint="eastAsia" w:ascii="宋体" w:hAnsi="宋体" w:eastAsia="宋体" w:cs="宋体"/>
          <w:b w:val="0"/>
          <w:bCs w:val="0"/>
          <w:color w:val="auto"/>
          <w:highlight w:val="none"/>
        </w:rPr>
      </w:pPr>
    </w:p>
    <w:p w14:paraId="454CCA56">
      <w:pPr>
        <w:widowControl w:val="0"/>
        <w:numPr>
          <w:ilvl w:val="0"/>
          <w:numId w:val="0"/>
        </w:numPr>
        <w:spacing w:line="360" w:lineRule="auto"/>
        <w:rPr>
          <w:rFonts w:hint="eastAsia" w:ascii="宋体" w:hAnsi="宋体" w:eastAsia="宋体" w:cs="宋体"/>
          <w:b w:val="0"/>
          <w:bCs w:val="0"/>
          <w:color w:val="auto"/>
          <w:highlight w:val="none"/>
        </w:rPr>
      </w:pPr>
    </w:p>
    <w:p w14:paraId="775D1B16">
      <w:pPr>
        <w:widowControl w:val="0"/>
        <w:numPr>
          <w:ilvl w:val="0"/>
          <w:numId w:val="0"/>
        </w:numPr>
        <w:spacing w:line="360" w:lineRule="auto"/>
        <w:rPr>
          <w:rFonts w:hint="eastAsia" w:ascii="宋体" w:hAnsi="宋体" w:eastAsia="宋体" w:cs="宋体"/>
          <w:b w:val="0"/>
          <w:bCs w:val="0"/>
          <w:color w:val="auto"/>
          <w:highlight w:val="none"/>
        </w:rPr>
      </w:pPr>
    </w:p>
    <w:p w14:paraId="77901E24">
      <w:pPr>
        <w:widowControl w:val="0"/>
        <w:numPr>
          <w:ilvl w:val="0"/>
          <w:numId w:val="0"/>
        </w:numPr>
        <w:spacing w:line="360" w:lineRule="auto"/>
        <w:rPr>
          <w:rFonts w:hint="eastAsia" w:ascii="宋体" w:hAnsi="宋体" w:eastAsia="宋体" w:cs="宋体"/>
          <w:b w:val="0"/>
          <w:bCs w:val="0"/>
          <w:color w:val="auto"/>
          <w:highlight w:val="none"/>
        </w:rPr>
      </w:pPr>
    </w:p>
    <w:p w14:paraId="786B9B9F">
      <w:pPr>
        <w:widowControl w:val="0"/>
        <w:numPr>
          <w:ilvl w:val="0"/>
          <w:numId w:val="0"/>
        </w:numPr>
        <w:spacing w:line="360" w:lineRule="auto"/>
        <w:rPr>
          <w:rFonts w:hint="eastAsia" w:ascii="宋体" w:hAnsi="宋体" w:eastAsia="宋体" w:cs="宋体"/>
          <w:b w:val="0"/>
          <w:bCs w:val="0"/>
          <w:color w:val="auto"/>
          <w:highlight w:val="none"/>
        </w:rPr>
      </w:pPr>
    </w:p>
    <w:p w14:paraId="1AD60F92">
      <w:pPr>
        <w:widowControl w:val="0"/>
        <w:numPr>
          <w:ilvl w:val="0"/>
          <w:numId w:val="0"/>
        </w:numPr>
        <w:spacing w:line="360" w:lineRule="auto"/>
        <w:rPr>
          <w:rFonts w:hint="eastAsia" w:ascii="宋体" w:hAnsi="宋体" w:eastAsia="宋体" w:cs="宋体"/>
          <w:b w:val="0"/>
          <w:bCs w:val="0"/>
          <w:color w:val="auto"/>
          <w:highlight w:val="none"/>
        </w:rPr>
      </w:pPr>
    </w:p>
    <w:p w14:paraId="45D23C8F">
      <w:pPr>
        <w:ind w:left="0" w:leftChars="0" w:firstLine="0" w:firstLineChars="0"/>
        <w:rPr>
          <w:rFonts w:hint="eastAsia" w:ascii="宋体" w:hAnsi="宋体" w:eastAsia="宋体" w:cs="宋体"/>
          <w:color w:val="auto"/>
          <w:highlight w:val="none"/>
          <w:shd w:val="clear" w:color="auto" w:fill="FFFFFF"/>
        </w:rPr>
      </w:pPr>
    </w:p>
    <w:p w14:paraId="6EE0C5A6">
      <w:pPr>
        <w:keepNext w:val="0"/>
        <w:keepLines w:val="0"/>
        <w:widowControl/>
        <w:numPr>
          <w:ilvl w:val="0"/>
          <w:numId w:val="0"/>
        </w:numPr>
        <w:suppressLineNumbers w:val="0"/>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highlight w:val="none"/>
          <w:lang w:eastAsia="zh-CN"/>
        </w:rPr>
        <w:t>特殊资格要求 ：</w:t>
      </w:r>
    </w:p>
    <w:p w14:paraId="47D9F0FE">
      <w:pPr>
        <w:keepNext w:val="0"/>
        <w:keepLines w:val="0"/>
        <w:widowControl/>
        <w:numPr>
          <w:ilvl w:val="0"/>
          <w:numId w:val="0"/>
        </w:numPr>
        <w:suppressLineNumbers w:val="0"/>
        <w:ind w:firstLine="482" w:firstLineChars="20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分包单位资质要求：具备有效的电子与智能化工程专业承包二级及以上资质证书、安全生产许可证。</w:t>
      </w:r>
    </w:p>
    <w:p w14:paraId="7F263A94">
      <w:pPr>
        <w:keepNext w:val="0"/>
        <w:keepLines w:val="0"/>
        <w:widowControl/>
        <w:numPr>
          <w:ilvl w:val="0"/>
          <w:numId w:val="0"/>
        </w:numPr>
        <w:suppressLineNumbers w:val="0"/>
        <w:ind w:firstLine="48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人员要求：共4人，其中现场负责人1名（具备机电工程专业二级注册建造师及建安B证）、现场施工员1名、安全员1名、材料负责人（材料员）1名，要求具有相关施工管理经验，安全员需具备建设行政主管部门颁发的安全生产考核合格证书（C类），且必须注册在分包单位，其他岗位人员需提供对应岗位证书或任职证明。成交供应商应根据《建筑施工企业、工程项目安全生产管理机构设置及安全生产管理人员配备办法》配足专职安全管理人员，参与采购的所有供应商须作出承诺，并提交相应承诺函。（</w:t>
      </w:r>
      <w:r>
        <w:rPr>
          <w:rFonts w:hint="eastAsia" w:ascii="宋体" w:hAnsi="宋体" w:eastAsia="宋体" w:cs="宋体"/>
          <w:b/>
          <w:bCs/>
          <w:color w:val="auto"/>
          <w:highlight w:val="none"/>
          <w:lang w:val="en-US" w:eastAsia="zh-CN"/>
        </w:rPr>
        <w:t>提供证书复印件或扫描件）</w:t>
      </w:r>
    </w:p>
    <w:p w14:paraId="7D38F7AC">
      <w:pPr>
        <w:ind w:left="0" w:leftChars="0" w:firstLine="0" w:firstLineChars="0"/>
        <w:jc w:val="center"/>
        <w:rPr>
          <w:rFonts w:hint="eastAsia" w:ascii="宋体" w:hAnsi="宋体" w:eastAsia="宋体" w:cs="宋体"/>
          <w:b/>
          <w:bCs/>
          <w:color w:val="auto"/>
          <w:sz w:val="32"/>
          <w:szCs w:val="32"/>
          <w:highlight w:val="none"/>
          <w:u w:val="none"/>
          <w:lang w:val="en-US" w:eastAsia="zh-CN"/>
        </w:rPr>
      </w:pPr>
    </w:p>
    <w:p w14:paraId="5F6A27B6">
      <w:pPr>
        <w:ind w:left="0" w:leftChars="0" w:firstLine="0" w:firstLineChars="0"/>
        <w:jc w:val="center"/>
        <w:rPr>
          <w:rFonts w:hint="eastAsia" w:ascii="宋体" w:hAnsi="宋体" w:eastAsia="宋体" w:cs="宋体"/>
          <w:b/>
          <w:bCs/>
          <w:color w:val="auto"/>
          <w:sz w:val="32"/>
          <w:szCs w:val="32"/>
          <w:highlight w:val="none"/>
          <w:u w:val="none"/>
          <w:lang w:val="en-US" w:eastAsia="zh-CN"/>
        </w:rPr>
      </w:pPr>
    </w:p>
    <w:p w14:paraId="7D34BE1B">
      <w:pPr>
        <w:ind w:left="0" w:leftChars="0" w:firstLine="0" w:firstLineChars="0"/>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关于足量配备专职安全人员的承诺书</w:t>
      </w:r>
    </w:p>
    <w:p w14:paraId="6714AB9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p>
    <w:p w14:paraId="5FAF464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21B2AB1">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70B581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w:t>
      </w:r>
      <w:r>
        <w:rPr>
          <w:rFonts w:hint="eastAsia" w:ascii="宋体" w:hAnsi="宋体" w:eastAsia="宋体" w:cs="宋体"/>
          <w:color w:val="auto"/>
          <w:highlight w:val="none"/>
          <w:u w:val="none"/>
          <w:lang w:val="en-US" w:eastAsia="zh-CN"/>
        </w:rPr>
        <w:t>根据《建筑施工企业、工程项目安全生产管理机构设置及安全生产管理人员配备办法》要求，</w:t>
      </w:r>
      <w:r>
        <w:rPr>
          <w:rFonts w:hint="eastAsia" w:ascii="宋体" w:hAnsi="宋体" w:eastAsia="宋体" w:cs="宋体"/>
          <w:color w:val="auto"/>
          <w:highlight w:val="none"/>
          <w:u w:val="none"/>
          <w:shd w:val="clear" w:color="auto" w:fill="FFFFFF"/>
          <w:lang w:val="en-US" w:eastAsia="zh-CN"/>
        </w:rPr>
        <w:t>具有</w:t>
      </w:r>
      <w:r>
        <w:rPr>
          <w:rFonts w:hint="eastAsia" w:ascii="宋体" w:hAnsi="宋体" w:eastAsia="宋体" w:cs="宋体"/>
          <w:color w:val="auto"/>
          <w:highlight w:val="none"/>
          <w:u w:val="none"/>
          <w:lang w:val="en-US" w:eastAsia="zh-CN"/>
        </w:rPr>
        <w:t>配足专职安全管理人员</w:t>
      </w: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E67936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5D920A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AB9A60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highlight w:val="none"/>
          <w:u w:val="none"/>
          <w:shd w:val="clear" w:color="auto" w:fill="FFFFFF"/>
          <w:lang w:val="en-US" w:eastAsia="zh-CN"/>
        </w:rPr>
      </w:pPr>
    </w:p>
    <w:p w14:paraId="0F603E7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响应供应商名称：（</w:t>
      </w:r>
      <w:r>
        <w:rPr>
          <w:rFonts w:hint="eastAsia" w:ascii="宋体" w:hAnsi="宋体" w:eastAsia="宋体" w:cs="宋体"/>
          <w:color w:val="auto"/>
          <w:highlight w:val="none"/>
          <w:u w:val="single"/>
          <w:shd w:val="clear" w:color="auto" w:fill="FFFFFF"/>
          <w:lang w:val="en-US" w:eastAsia="zh-CN"/>
        </w:rPr>
        <w:t>响应供应商名称）</w:t>
      </w:r>
      <w:r>
        <w:rPr>
          <w:rFonts w:hint="eastAsia" w:ascii="宋体" w:hAnsi="宋体" w:eastAsia="宋体" w:cs="宋体"/>
          <w:color w:val="auto"/>
          <w:highlight w:val="none"/>
          <w:u w:val="none"/>
          <w:shd w:val="clear" w:color="auto" w:fill="FFFFFF"/>
          <w:lang w:val="en-US" w:eastAsia="zh-CN"/>
        </w:rPr>
        <w:t>（盖章）</w:t>
      </w:r>
    </w:p>
    <w:p w14:paraId="66B8B51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701503D0">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   年   月   日</w:t>
      </w:r>
    </w:p>
    <w:p w14:paraId="4455DCD4">
      <w:pPr>
        <w:keepNext w:val="0"/>
        <w:keepLines w:val="0"/>
        <w:widowControl/>
        <w:numPr>
          <w:ilvl w:val="0"/>
          <w:numId w:val="0"/>
        </w:numPr>
        <w:suppressLineNumbers w:val="0"/>
        <w:jc w:val="left"/>
        <w:rPr>
          <w:rFonts w:hint="eastAsia" w:ascii="宋体" w:hAnsi="宋体" w:eastAsia="宋体" w:cs="宋体"/>
          <w:color w:val="auto"/>
          <w:highlight w:val="none"/>
          <w:shd w:val="clear" w:color="auto" w:fill="FFFFFF"/>
        </w:rPr>
      </w:pPr>
    </w:p>
    <w:bookmarkEnd w:id="41"/>
    <w:bookmarkEnd w:id="42"/>
    <w:bookmarkEnd w:id="43"/>
    <w:p w14:paraId="2FB5BA2D">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六、商务文件</w:t>
      </w:r>
    </w:p>
    <w:p w14:paraId="1612141D">
      <w:pPr>
        <w:ind w:firstLine="0" w:firstLineChars="0"/>
        <w:jc w:val="center"/>
        <w:rPr>
          <w:rStyle w:val="18"/>
          <w:rFonts w:hint="eastAsia" w:ascii="宋体" w:hAnsi="宋体" w:eastAsia="宋体" w:cs="宋体"/>
          <w:color w:val="auto"/>
          <w:sz w:val="24"/>
          <w:szCs w:val="24"/>
          <w:highlight w:val="none"/>
          <w:lang w:val="en-US" w:eastAsia="zh-CN"/>
        </w:rPr>
      </w:pPr>
      <w:bookmarkStart w:id="44" w:name="_Toc27648"/>
      <w:bookmarkStart w:id="45" w:name="_Toc15212"/>
      <w:bookmarkStart w:id="46" w:name="_Toc32612"/>
      <w:bookmarkStart w:id="47" w:name="_Toc21467"/>
      <w:r>
        <w:rPr>
          <w:rStyle w:val="18"/>
          <w:rFonts w:hint="eastAsia" w:ascii="宋体" w:hAnsi="宋体" w:eastAsia="宋体" w:cs="宋体"/>
          <w:color w:val="auto"/>
          <w:sz w:val="24"/>
          <w:szCs w:val="24"/>
          <w:highlight w:val="none"/>
          <w:lang w:val="en-US" w:eastAsia="zh-CN"/>
        </w:rPr>
        <w:t>（一）商务要求响应相关资料</w:t>
      </w:r>
      <w:bookmarkEnd w:id="44"/>
      <w:bookmarkEnd w:id="45"/>
      <w:bookmarkEnd w:id="46"/>
      <w:bookmarkEnd w:id="47"/>
    </w:p>
    <w:p w14:paraId="2393E3C0">
      <w:pPr>
        <w:ind w:firstLine="0" w:firstLineChars="0"/>
        <w:rPr>
          <w:rFonts w:hint="eastAsia" w:ascii="宋体" w:hAnsi="宋体" w:eastAsia="宋体" w:cs="宋体"/>
          <w:color w:val="auto"/>
          <w:highlight w:val="none"/>
        </w:rPr>
      </w:pPr>
    </w:p>
    <w:p w14:paraId="3516E78E">
      <w:pPr>
        <w:ind w:firstLine="480"/>
        <w:rPr>
          <w:rFonts w:hint="eastAsia" w:ascii="宋体" w:hAnsi="宋体" w:eastAsia="宋体" w:cs="宋体"/>
          <w:color w:val="auto"/>
          <w:highlight w:val="none"/>
        </w:rPr>
      </w:pPr>
    </w:p>
    <w:p w14:paraId="00E00381">
      <w:pPr>
        <w:ind w:firstLine="480"/>
        <w:rPr>
          <w:rFonts w:hint="eastAsia" w:ascii="宋体" w:hAnsi="宋体" w:eastAsia="宋体" w:cs="宋体"/>
          <w:color w:val="auto"/>
          <w:highlight w:val="none"/>
        </w:rPr>
      </w:pPr>
    </w:p>
    <w:p w14:paraId="123639E0">
      <w:pPr>
        <w:ind w:firstLine="0" w:firstLineChars="0"/>
        <w:jc w:val="center"/>
        <w:rPr>
          <w:rStyle w:val="18"/>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highlight w:val="none"/>
          <w:lang w:bidi="ar"/>
        </w:rPr>
        <w:br w:type="page"/>
      </w:r>
      <w:bookmarkStart w:id="48" w:name="_Toc16001"/>
      <w:bookmarkStart w:id="49" w:name="_Toc25697"/>
      <w:bookmarkStart w:id="50" w:name="_Toc6876"/>
      <w:bookmarkStart w:id="51" w:name="_Toc26270"/>
      <w:r>
        <w:rPr>
          <w:rStyle w:val="18"/>
          <w:rFonts w:hint="eastAsia" w:ascii="宋体" w:hAnsi="宋体" w:eastAsia="宋体" w:cs="宋体"/>
          <w:color w:val="auto"/>
          <w:sz w:val="24"/>
          <w:szCs w:val="24"/>
          <w:highlight w:val="none"/>
          <w:lang w:val="en-US" w:eastAsia="zh-CN"/>
        </w:rPr>
        <w:t>（二）供应商认为应该提供的其他证明材料</w:t>
      </w:r>
      <w:bookmarkEnd w:id="48"/>
      <w:bookmarkEnd w:id="49"/>
      <w:bookmarkEnd w:id="50"/>
      <w:bookmarkEnd w:id="51"/>
    </w:p>
    <w:p w14:paraId="776B4496">
      <w:pPr>
        <w:ind w:firstLine="480"/>
        <w:jc w:val="center"/>
        <w:rPr>
          <w:rFonts w:hint="eastAsia" w:ascii="宋体" w:hAnsi="宋体" w:eastAsia="宋体" w:cs="宋体"/>
          <w:color w:val="auto"/>
          <w:highlight w:val="none"/>
          <w:lang w:val="en-US" w:eastAsia="zh-CN"/>
        </w:rPr>
      </w:pPr>
    </w:p>
    <w:p w14:paraId="383F86CF">
      <w:pPr>
        <w:ind w:firstLine="480"/>
        <w:rPr>
          <w:rFonts w:hint="eastAsia" w:ascii="宋体" w:hAnsi="宋体" w:eastAsia="宋体" w:cs="宋体"/>
          <w:color w:val="auto"/>
          <w:highlight w:val="none"/>
        </w:rPr>
      </w:pPr>
    </w:p>
    <w:p w14:paraId="76C9E245">
      <w:pPr>
        <w:ind w:firstLine="480"/>
        <w:rPr>
          <w:rFonts w:hint="eastAsia" w:ascii="宋体" w:hAnsi="宋体" w:eastAsia="宋体" w:cs="宋体"/>
          <w:color w:val="auto"/>
          <w:highlight w:val="none"/>
        </w:rPr>
      </w:pPr>
    </w:p>
    <w:p w14:paraId="0C00ED54">
      <w:pPr>
        <w:ind w:firstLine="0" w:firstLineChars="0"/>
        <w:rPr>
          <w:rFonts w:hint="eastAsia" w:ascii="宋体" w:hAnsi="宋体" w:eastAsia="宋体" w:cs="宋体"/>
          <w:color w:val="auto"/>
          <w:highlight w:val="none"/>
        </w:rPr>
      </w:pPr>
    </w:p>
    <w:p w14:paraId="4997DC9E">
      <w:pPr>
        <w:widowControl/>
        <w:ind w:firstLine="48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EEFCDC">
      <w:pPr>
        <w:ind w:firstLine="0" w:firstLineChars="0"/>
        <w:jc w:val="center"/>
        <w:rPr>
          <w:rStyle w:val="18"/>
          <w:rFonts w:hint="eastAsia" w:ascii="宋体" w:hAnsi="宋体" w:eastAsia="宋体" w:cs="宋体"/>
          <w:color w:val="auto"/>
          <w:highlight w:val="none"/>
          <w:lang w:eastAsia="zh-CN"/>
        </w:rPr>
      </w:pPr>
      <w:bookmarkStart w:id="52" w:name="_Toc22698"/>
      <w:bookmarkStart w:id="53" w:name="_Toc21090"/>
      <w:bookmarkStart w:id="54" w:name="_Toc10216"/>
      <w:bookmarkStart w:id="55" w:name="_Toc1562"/>
      <w:bookmarkStart w:id="56" w:name="_Toc2412"/>
      <w:r>
        <w:rPr>
          <w:rStyle w:val="18"/>
          <w:rFonts w:hint="eastAsia" w:ascii="宋体" w:hAnsi="宋体" w:eastAsia="宋体" w:cs="宋体"/>
          <w:color w:val="auto"/>
          <w:highlight w:val="none"/>
          <w:lang w:eastAsia="zh-CN"/>
        </w:rPr>
        <w:t>七、响应供应商认为需提供的其它材料</w:t>
      </w:r>
      <w:bookmarkEnd w:id="52"/>
      <w:bookmarkEnd w:id="53"/>
      <w:bookmarkEnd w:id="54"/>
      <w:bookmarkEnd w:id="55"/>
      <w:bookmarkEnd w:id="56"/>
    </w:p>
    <w:p w14:paraId="1A9AD276">
      <w:pPr>
        <w:bidi w:val="0"/>
        <w:jc w:val="center"/>
        <w:rPr>
          <w:rFonts w:hint="eastAsia" w:ascii="宋体" w:hAnsi="宋体" w:eastAsia="宋体" w:cs="宋体"/>
          <w:b/>
          <w:bCs/>
          <w:color w:val="auto"/>
          <w:highlight w:val="none"/>
        </w:rPr>
      </w:pPr>
      <w:bookmarkStart w:id="57" w:name="_Toc23425"/>
      <w:bookmarkStart w:id="58" w:name="_Toc18232"/>
      <w:bookmarkStart w:id="59" w:name="_Toc29311"/>
      <w:bookmarkStart w:id="60" w:name="_Toc29557"/>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、同意谈判采购条款声明</w:t>
      </w:r>
      <w:bookmarkEnd w:id="57"/>
      <w:bookmarkEnd w:id="58"/>
      <w:bookmarkEnd w:id="59"/>
      <w:bookmarkEnd w:id="60"/>
    </w:p>
    <w:p w14:paraId="5CCE8EB1">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致</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 xml:space="preserve"> </w:t>
      </w:r>
    </w:p>
    <w:p w14:paraId="1EA7780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为响应你方组织的</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采购项目的</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，项目编为：</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，我方在参与投标前已详细研究了</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的所有内容，包括修改或更改（正）文件（如果有的话）和所有已提供的参考资料以及有关附件，我方完全明白并认为此</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没有倾向性，也没有存在排斥潜在供应商的内容，我方同意</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的相关条款并承诺参与投标后不再对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的任何条款提出质疑或异议。 </w:t>
      </w:r>
    </w:p>
    <w:p w14:paraId="455FEA6F">
      <w:pPr>
        <w:widowControl/>
        <w:ind w:firstLine="480"/>
        <w:rPr>
          <w:rFonts w:hint="eastAsia" w:ascii="宋体" w:hAnsi="宋体" w:eastAsia="宋体" w:cs="宋体"/>
          <w:color w:val="auto"/>
          <w:kern w:val="0"/>
          <w:highlight w:val="none"/>
          <w:lang w:bidi="ar"/>
        </w:rPr>
      </w:pPr>
    </w:p>
    <w:p w14:paraId="49E60DD4">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 xml:space="preserve">特此声明。 </w:t>
      </w:r>
    </w:p>
    <w:p w14:paraId="2E6D8E6D">
      <w:pPr>
        <w:widowControl/>
        <w:ind w:firstLine="480"/>
        <w:rPr>
          <w:rFonts w:hint="eastAsia" w:ascii="宋体" w:hAnsi="宋体" w:eastAsia="宋体" w:cs="宋体"/>
          <w:color w:val="auto"/>
          <w:kern w:val="0"/>
          <w:highlight w:val="none"/>
          <w:lang w:bidi="ar"/>
        </w:rPr>
      </w:pPr>
    </w:p>
    <w:p w14:paraId="17C250A3">
      <w:pPr>
        <w:widowControl/>
        <w:ind w:firstLine="480"/>
        <w:rPr>
          <w:rFonts w:hint="eastAsia" w:ascii="宋体" w:hAnsi="宋体" w:eastAsia="宋体" w:cs="宋体"/>
          <w:color w:val="auto"/>
          <w:kern w:val="0"/>
          <w:highlight w:val="none"/>
          <w:lang w:bidi="ar"/>
        </w:rPr>
      </w:pPr>
    </w:p>
    <w:p w14:paraId="15617606">
      <w:pPr>
        <w:widowControl/>
        <w:ind w:firstLine="480"/>
        <w:rPr>
          <w:rFonts w:hint="eastAsia" w:ascii="宋体" w:hAnsi="宋体" w:eastAsia="宋体" w:cs="宋体"/>
          <w:color w:val="auto"/>
          <w:kern w:val="0"/>
          <w:highlight w:val="none"/>
          <w:lang w:bidi="ar"/>
        </w:rPr>
      </w:pPr>
    </w:p>
    <w:p w14:paraId="73F4349A">
      <w:pPr>
        <w:widowControl/>
        <w:ind w:firstLine="480"/>
        <w:rPr>
          <w:rFonts w:hint="eastAsia" w:ascii="宋体" w:hAnsi="宋体" w:eastAsia="宋体" w:cs="宋体"/>
          <w:color w:val="auto"/>
          <w:kern w:val="0"/>
          <w:highlight w:val="none"/>
          <w:lang w:bidi="ar"/>
        </w:rPr>
      </w:pPr>
    </w:p>
    <w:p w14:paraId="066CBAB5">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eastAsia="zh-CN" w:bidi="ar"/>
        </w:rPr>
        <w:t>响应</w:t>
      </w:r>
      <w:r>
        <w:rPr>
          <w:rFonts w:hint="eastAsia" w:ascii="宋体" w:hAnsi="宋体" w:eastAsia="宋体" w:cs="宋体"/>
          <w:color w:val="auto"/>
          <w:kern w:val="0"/>
          <w:highlight w:val="none"/>
          <w:lang w:bidi="ar"/>
        </w:rPr>
        <w:t xml:space="preserve">供应商：         （公章） </w:t>
      </w:r>
    </w:p>
    <w:p w14:paraId="746DBFEF">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bidi="ar"/>
        </w:rPr>
        <w:t>日      期：</w:t>
      </w:r>
    </w:p>
    <w:p w14:paraId="774C7434">
      <w:pPr>
        <w:ind w:firstLine="0" w:firstLineChars="0"/>
        <w:rPr>
          <w:rFonts w:hint="eastAsia" w:ascii="宋体" w:hAnsi="宋体" w:eastAsia="宋体" w:cs="宋体"/>
          <w:b/>
          <w:color w:val="auto"/>
          <w:highlight w:val="none"/>
        </w:rPr>
      </w:pPr>
    </w:p>
    <w:p w14:paraId="097B8941">
      <w:pPr>
        <w:bidi w:val="0"/>
        <w:ind w:left="0" w:leftChars="0" w:firstLine="0" w:firstLineChars="0"/>
        <w:jc w:val="both"/>
        <w:rPr>
          <w:rFonts w:hint="eastAsia" w:ascii="宋体" w:hAnsi="宋体" w:eastAsia="宋体" w:cs="宋体"/>
          <w:color w:val="auto"/>
          <w:highlight w:val="none"/>
        </w:rPr>
      </w:pPr>
      <w:r>
        <w:rPr>
          <w:rFonts w:hint="eastAsia" w:ascii="宋体" w:hAnsi="宋体" w:eastAsia="宋体" w:cs="宋体"/>
          <w:b/>
          <w:color w:val="auto"/>
          <w:highlight w:val="none"/>
        </w:rPr>
        <w:br w:type="page"/>
      </w:r>
      <w:bookmarkStart w:id="61" w:name="_Toc7644"/>
      <w:bookmarkStart w:id="62" w:name="_Toc24681"/>
      <w:bookmarkStart w:id="63" w:name="_Toc5589"/>
      <w:bookmarkStart w:id="64" w:name="_Toc18422"/>
      <w:r>
        <w:rPr>
          <w:rFonts w:hint="eastAsia" w:ascii="宋体" w:hAnsi="宋体" w:eastAsia="宋体" w:cs="宋体"/>
          <w:b/>
          <w:bCs/>
          <w:color w:val="auto"/>
          <w:highlight w:val="none"/>
          <w:lang w:val="en-US" w:eastAsia="zh-CN"/>
        </w:rPr>
        <w:t>2、谈判采购要求的其他承诺</w:t>
      </w:r>
      <w:bookmarkEnd w:id="61"/>
      <w:bookmarkEnd w:id="62"/>
      <w:bookmarkEnd w:id="63"/>
      <w:bookmarkEnd w:id="64"/>
    </w:p>
    <w:p w14:paraId="59313F74">
      <w:pPr>
        <w:widowControl/>
        <w:ind w:firstLine="480"/>
        <w:rPr>
          <w:rFonts w:hint="eastAsia" w:ascii="宋体" w:hAnsi="宋体" w:eastAsia="宋体" w:cs="宋体"/>
          <w:color w:val="auto"/>
          <w:kern w:val="0"/>
          <w:highlight w:val="none"/>
          <w:lang w:bidi="ar"/>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4F15E881">
      <w:pPr>
        <w:widowControl/>
        <w:ind w:firstLine="480"/>
        <w:rPr>
          <w:rFonts w:hint="eastAsia" w:ascii="宋体" w:hAnsi="宋体" w:eastAsia="宋体" w:cs="宋体"/>
          <w:color w:val="auto"/>
          <w:kern w:val="0"/>
          <w:highlight w:val="none"/>
          <w:lang w:bidi="ar"/>
        </w:rPr>
      </w:pPr>
    </w:p>
    <w:p w14:paraId="06062278">
      <w:pPr>
        <w:widowControl/>
        <w:ind w:firstLine="480"/>
        <w:jc w:val="center"/>
        <w:rPr>
          <w:rFonts w:hint="default"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近三年无重大违法行为的承诺书</w:t>
      </w:r>
    </w:p>
    <w:p w14:paraId="20576AC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A27289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3F7836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0B4FA7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58DDB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9DF2E5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CADFB2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F96F8A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A2ADA2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响应供应商名称：（</w:t>
      </w:r>
      <w:r>
        <w:rPr>
          <w:rFonts w:hint="eastAsia" w:ascii="宋体" w:hAnsi="宋体" w:eastAsia="宋体" w:cs="宋体"/>
          <w:color w:val="auto"/>
          <w:highlight w:val="none"/>
          <w:u w:val="single"/>
          <w:shd w:val="clear" w:color="auto" w:fill="FFFFFF"/>
          <w:lang w:val="en-US" w:eastAsia="zh-CN"/>
        </w:rPr>
        <w:t>响应供应商名称）</w:t>
      </w:r>
      <w:r>
        <w:rPr>
          <w:rFonts w:hint="eastAsia" w:ascii="宋体" w:hAnsi="宋体" w:eastAsia="宋体" w:cs="宋体"/>
          <w:color w:val="auto"/>
          <w:highlight w:val="none"/>
          <w:u w:val="none"/>
          <w:shd w:val="clear" w:color="auto" w:fill="FFFFFF"/>
          <w:lang w:val="en-US" w:eastAsia="zh-CN"/>
        </w:rPr>
        <w:t>（盖章）</w:t>
      </w:r>
    </w:p>
    <w:p w14:paraId="37B0454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1A1E5B1">
      <w:pPr>
        <w:widowControl/>
        <w:ind w:firstLine="480"/>
        <w:jc w:val="right"/>
        <w:rPr>
          <w:rFonts w:hint="eastAsia" w:ascii="宋体" w:hAnsi="宋体" w:eastAsia="宋体" w:cs="宋体"/>
          <w:color w:val="auto"/>
          <w:kern w:val="0"/>
          <w:highlight w:val="none"/>
          <w:lang w:bidi="ar"/>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0B0A9E2">
      <w:pPr>
        <w:ind w:left="0" w:leftChars="0" w:firstLine="0" w:firstLineChars="0"/>
        <w:rPr>
          <w:rFonts w:hint="default"/>
          <w:color w:val="auto"/>
          <w:highlight w:val="none"/>
          <w:lang w:val="en-US" w:eastAsia="zh-CN"/>
        </w:rPr>
      </w:pPr>
    </w:p>
    <w:p w14:paraId="1B73BBF0">
      <w:pPr>
        <w:widowControl/>
        <w:ind w:firstLine="4800" w:firstLineChars="2000"/>
        <w:rPr>
          <w:rFonts w:hint="eastAsia" w:ascii="宋体" w:hAnsi="宋体" w:eastAsia="宋体" w:cs="宋体"/>
          <w:color w:val="auto"/>
          <w:highlight w:val="none"/>
        </w:rPr>
      </w:pPr>
    </w:p>
    <w:p w14:paraId="20514A47">
      <w:pPr>
        <w:ind w:firstLine="562"/>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br w:type="page"/>
      </w:r>
    </w:p>
    <w:p w14:paraId="43E24AB9">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八、技术方案</w:t>
      </w:r>
    </w:p>
    <w:p w14:paraId="356B11F4">
      <w:pPr>
        <w:ind w:left="0" w:leftChars="0" w:firstLine="0" w:firstLineChars="0"/>
        <w:jc w:val="center"/>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（格式自拟）</w:t>
      </w:r>
    </w:p>
    <w:p w14:paraId="5C098A8D">
      <w:pPr>
        <w:rPr>
          <w:color w:val="auto"/>
          <w:highlight w:val="none"/>
        </w:rPr>
      </w:pPr>
    </w:p>
    <w:sectPr>
      <w:pgSz w:w="11905" w:h="16838"/>
      <w:pgMar w:top="1417" w:right="1417" w:bottom="1417" w:left="1417"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9C17">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1919">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42414">
                          <w:pPr>
                            <w:pStyle w:val="7"/>
                            <w:ind w:firstLine="360"/>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F142414">
                    <w:pPr>
                      <w:pStyle w:val="7"/>
                      <w:ind w:firstLine="360"/>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E1E0">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BD42"/>
    <w:multiLevelType w:val="singleLevel"/>
    <w:tmpl w:val="85F1BD42"/>
    <w:lvl w:ilvl="0" w:tentative="0">
      <w:start w:val="2"/>
      <w:numFmt w:val="chineseCounting"/>
      <w:suff w:val="nothing"/>
      <w:lvlText w:val="%1、"/>
      <w:lvlJc w:val="left"/>
      <w:rPr>
        <w:rFonts w:hint="eastAsia"/>
      </w:rPr>
    </w:lvl>
  </w:abstractNum>
  <w:abstractNum w:abstractNumId="1">
    <w:nsid w:val="2968D81D"/>
    <w:multiLevelType w:val="singleLevel"/>
    <w:tmpl w:val="2968D81D"/>
    <w:lvl w:ilvl="0" w:tentative="0">
      <w:start w:val="1"/>
      <w:numFmt w:val="decimal"/>
      <w:suff w:val="nothing"/>
      <w:lvlText w:val="（%1）"/>
      <w:lvlJc w:val="left"/>
      <w:rPr>
        <w:rFonts w:hint="default"/>
        <w:highlight w:val="none"/>
      </w:rPr>
    </w:lvl>
  </w:abstractNum>
  <w:abstractNum w:abstractNumId="2">
    <w:nsid w:val="60C9DA43"/>
    <w:multiLevelType w:val="singleLevel"/>
    <w:tmpl w:val="60C9DA43"/>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6561B"/>
    <w:rsid w:val="00131E34"/>
    <w:rsid w:val="01677D78"/>
    <w:rsid w:val="01980ECE"/>
    <w:rsid w:val="02B01361"/>
    <w:rsid w:val="074B78AB"/>
    <w:rsid w:val="0774403F"/>
    <w:rsid w:val="08BD3B8F"/>
    <w:rsid w:val="099568FD"/>
    <w:rsid w:val="0A2579ED"/>
    <w:rsid w:val="0A903AE0"/>
    <w:rsid w:val="0C765076"/>
    <w:rsid w:val="0E1D550E"/>
    <w:rsid w:val="156C5ADE"/>
    <w:rsid w:val="15A212ED"/>
    <w:rsid w:val="18D70B2D"/>
    <w:rsid w:val="1A1357FA"/>
    <w:rsid w:val="1A225770"/>
    <w:rsid w:val="1EB37DB8"/>
    <w:rsid w:val="1EE15DDE"/>
    <w:rsid w:val="1EEB37A9"/>
    <w:rsid w:val="1FC25464"/>
    <w:rsid w:val="202A799C"/>
    <w:rsid w:val="245C58A7"/>
    <w:rsid w:val="259B7D8E"/>
    <w:rsid w:val="27A408DE"/>
    <w:rsid w:val="28447EC3"/>
    <w:rsid w:val="28D63020"/>
    <w:rsid w:val="2B66561B"/>
    <w:rsid w:val="2DEB6830"/>
    <w:rsid w:val="301F711D"/>
    <w:rsid w:val="33524B99"/>
    <w:rsid w:val="336A1A14"/>
    <w:rsid w:val="337D0091"/>
    <w:rsid w:val="34BA7DB2"/>
    <w:rsid w:val="365D4D84"/>
    <w:rsid w:val="3685604B"/>
    <w:rsid w:val="36A64E47"/>
    <w:rsid w:val="37FC2AAD"/>
    <w:rsid w:val="397A3CFF"/>
    <w:rsid w:val="3B9D352A"/>
    <w:rsid w:val="3BB96114"/>
    <w:rsid w:val="3BF21160"/>
    <w:rsid w:val="4437167E"/>
    <w:rsid w:val="44CF0B39"/>
    <w:rsid w:val="4B4C7C76"/>
    <w:rsid w:val="4C6753F2"/>
    <w:rsid w:val="4D020791"/>
    <w:rsid w:val="4FE85264"/>
    <w:rsid w:val="54680721"/>
    <w:rsid w:val="58D16CDC"/>
    <w:rsid w:val="592673AD"/>
    <w:rsid w:val="5B48305A"/>
    <w:rsid w:val="5D314111"/>
    <w:rsid w:val="5EA5303C"/>
    <w:rsid w:val="617521C7"/>
    <w:rsid w:val="628F2C10"/>
    <w:rsid w:val="658F26DB"/>
    <w:rsid w:val="66BB18CC"/>
    <w:rsid w:val="69DB7C4C"/>
    <w:rsid w:val="69FE00E3"/>
    <w:rsid w:val="6B9C7B27"/>
    <w:rsid w:val="6DDF2C4E"/>
    <w:rsid w:val="70AB1C6A"/>
    <w:rsid w:val="71BE59CD"/>
    <w:rsid w:val="723E7F24"/>
    <w:rsid w:val="73D41B46"/>
    <w:rsid w:val="74624D35"/>
    <w:rsid w:val="746539C7"/>
    <w:rsid w:val="74BE3ABE"/>
    <w:rsid w:val="762A7CB1"/>
    <w:rsid w:val="766905FD"/>
    <w:rsid w:val="7CD17803"/>
    <w:rsid w:val="7D016D57"/>
    <w:rsid w:val="7D425704"/>
    <w:rsid w:val="7E15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3"/>
    <w:basedOn w:val="1"/>
    <w:next w:val="1"/>
    <w:qFormat/>
    <w:uiPriority w:val="9"/>
    <w:pPr>
      <w:keepNext/>
      <w:keepLines/>
      <w:tabs>
        <w:tab w:val="left" w:pos="3402"/>
      </w:tabs>
      <w:spacing w:beforeLines="100" w:afterLines="100"/>
      <w:ind w:firstLine="0" w:firstLineChars="0"/>
      <w:contextualSpacing/>
      <w:jc w:val="center"/>
      <w:outlineLvl w:val="2"/>
    </w:pPr>
    <w:rPr>
      <w:rFonts w:eastAsia="黑体"/>
      <w:bCs/>
      <w:kern w:val="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0"/>
      <w:sz w:val="20"/>
    </w:rPr>
  </w:style>
  <w:style w:type="paragraph" w:styleId="5">
    <w:name w:val="Body Text"/>
    <w:basedOn w:val="1"/>
    <w:next w:val="1"/>
    <w:unhideWhenUsed/>
    <w:qFormat/>
    <w:uiPriority w:val="99"/>
    <w:pPr>
      <w:spacing w:after="120"/>
    </w:pPr>
    <w:rPr>
      <w:rFonts w:ascii="Calibri" w:hAnsi="Calibri" w:eastAsia="宋体"/>
      <w:szCs w:val="22"/>
    </w:rPr>
  </w:style>
  <w:style w:type="paragraph" w:styleId="6">
    <w:name w:val="toc 3"/>
    <w:basedOn w:val="1"/>
    <w:next w:val="1"/>
    <w:unhideWhenUsed/>
    <w:qFormat/>
    <w:uiPriority w:val="39"/>
    <w:pPr>
      <w:ind w:left="840" w:leftChars="400"/>
    </w:pPr>
  </w:style>
  <w:style w:type="paragraph" w:styleId="7">
    <w:name w:val="footer"/>
    <w:basedOn w:val="1"/>
    <w:qFormat/>
    <w:uiPriority w:val="99"/>
    <w:pPr>
      <w:tabs>
        <w:tab w:val="center" w:pos="4153"/>
        <w:tab w:val="right" w:pos="8306"/>
      </w:tabs>
      <w:snapToGrid w:val="0"/>
    </w:pPr>
    <w:rPr>
      <w:rFonts w:eastAsia="宋体"/>
      <w:kern w:val="0"/>
      <w:sz w:val="18"/>
      <w:szCs w:val="18"/>
    </w:rPr>
  </w:style>
  <w:style w:type="paragraph" w:styleId="8">
    <w:name w:val="toc 1"/>
    <w:basedOn w:val="1"/>
    <w:next w:val="1"/>
    <w:unhideWhenUsed/>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9">
    <w:name w:val="Body Text Indent 3"/>
    <w:basedOn w:val="1"/>
    <w:qFormat/>
    <w:uiPriority w:val="0"/>
    <w:pPr>
      <w:spacing w:line="240" w:lineRule="auto"/>
      <w:ind w:firstLine="0" w:firstLineChars="0"/>
      <w:contextualSpacing/>
    </w:pPr>
    <w:rPr>
      <w:kern w:val="0"/>
      <w:szCs w:val="16"/>
    </w:rPr>
  </w:style>
  <w:style w:type="paragraph" w:styleId="10">
    <w:name w:val="Body Text First Indent 2"/>
    <w:next w:val="11"/>
    <w:qFormat/>
    <w:uiPriority w:val="0"/>
    <w:pPr>
      <w:widowControl w:val="0"/>
      <w:snapToGrid w:val="0"/>
      <w:spacing w:after="0"/>
      <w:ind w:left="482" w:leftChars="0" w:firstLine="480"/>
      <w:jc w:val="both"/>
    </w:pPr>
    <w:rPr>
      <w:rFonts w:ascii="Calibri" w:hAnsi="仿宋" w:eastAsia="宋体" w:cs="黑体"/>
      <w:kern w:val="2"/>
      <w:sz w:val="21"/>
      <w:szCs w:val="24"/>
      <w:lang w:val="en-US" w:eastAsia="zh-CN" w:bidi="ar-SA"/>
    </w:rPr>
  </w:style>
  <w:style w:type="paragraph" w:customStyle="1" w:styleId="11">
    <w:name w:val="正文格式"/>
    <w:qFormat/>
    <w:uiPriority w:val="99"/>
    <w:pPr>
      <w:widowControl w:val="0"/>
      <w:jc w:val="both"/>
    </w:pPr>
    <w:rPr>
      <w:rFonts w:ascii="宋体" w:hAnsi="宋体" w:eastAsia="宋体" w:cs="Times New Roman"/>
      <w:kern w:val="2"/>
      <w:sz w:val="28"/>
      <w:szCs w:val="24"/>
      <w:lang w:val="en-US" w:eastAsia="zh-CN" w:bidi="ar-SA"/>
    </w:rPr>
  </w:style>
  <w:style w:type="character" w:styleId="14">
    <w:name w:val="Strong"/>
    <w:qFormat/>
    <w:uiPriority w:val="22"/>
    <w:rPr>
      <w:rFonts w:eastAsia="黑体"/>
      <w:bCs/>
    </w:rPr>
  </w:style>
  <w:style w:type="paragraph" w:customStyle="1" w:styleId="15">
    <w:name w:val="样式 标题 3 + (中文) 黑体 小四 非加粗 段前: 7.8 磅 段后: 0 磅 行距: 固定值 20 磅"/>
    <w:basedOn w:val="3"/>
    <w:autoRedefine/>
    <w:qFormat/>
    <w:uiPriority w:val="0"/>
    <w:pPr>
      <w:spacing w:beforeLines="0" w:afterLines="0" w:line="400" w:lineRule="exact"/>
    </w:pPr>
    <w:rPr>
      <w:rFonts w:cs="宋体"/>
      <w:szCs w:val="20"/>
    </w:rPr>
  </w:style>
  <w:style w:type="paragraph" w:customStyle="1" w:styleId="16">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书籍标题1"/>
    <w:autoRedefine/>
    <w:qFormat/>
    <w:uiPriority w:val="33"/>
    <w:rPr>
      <w:rFonts w:eastAsia="仿宋_GB2312"/>
      <w:b/>
      <w:bCs/>
      <w:smallCaps/>
      <w:spacing w:val="5"/>
      <w:sz w:val="36"/>
    </w:rPr>
  </w:style>
  <w:style w:type="character" w:customStyle="1" w:styleId="19">
    <w:name w:val="_Style 88"/>
    <w:autoRedefine/>
    <w:qFormat/>
    <w:uiPriority w:val="33"/>
    <w:rPr>
      <w:rFonts w:eastAsia="仿宋_GB2312"/>
      <w:b/>
      <w:bCs/>
      <w:smallCaps/>
      <w:spacing w:val="5"/>
      <w:sz w:val="36"/>
    </w:rPr>
  </w:style>
  <w:style w:type="character" w:customStyle="1" w:styleId="20">
    <w:name w:val="_Style 2"/>
    <w:autoRedefine/>
    <w:qFormat/>
    <w:uiPriority w:val="33"/>
    <w:rPr>
      <w:rFonts w:eastAsia="仿宋_GB2312"/>
      <w:b/>
      <w:bCs/>
      <w:smallCaps/>
      <w:spacing w:val="5"/>
      <w:sz w:val="36"/>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71"/>
    <w:basedOn w:val="13"/>
    <w:qFormat/>
    <w:uiPriority w:val="0"/>
    <w:rPr>
      <w:rFonts w:hint="eastAsia" w:ascii="宋体" w:hAnsi="宋体" w:eastAsia="宋体" w:cs="宋体"/>
      <w:color w:val="FF0000"/>
      <w:sz w:val="20"/>
      <w:szCs w:val="20"/>
      <w:u w:val="none"/>
    </w:rPr>
  </w:style>
  <w:style w:type="character" w:customStyle="1" w:styleId="23">
    <w:name w:val="font51"/>
    <w:basedOn w:val="13"/>
    <w:qFormat/>
    <w:uiPriority w:val="0"/>
    <w:rPr>
      <w:rFonts w:hint="eastAsia" w:ascii="宋体" w:hAnsi="宋体" w:eastAsia="宋体" w:cs="宋体"/>
      <w:color w:val="000000"/>
      <w:sz w:val="20"/>
      <w:szCs w:val="20"/>
      <w:u w:val="none"/>
    </w:rPr>
  </w:style>
  <w:style w:type="character" w:customStyle="1" w:styleId="24">
    <w:name w:val="font81"/>
    <w:basedOn w:val="13"/>
    <w:qFormat/>
    <w:uiPriority w:val="0"/>
    <w:rPr>
      <w:rFonts w:hint="eastAsia" w:ascii="宋体" w:hAnsi="宋体" w:eastAsia="宋体" w:cs="宋体"/>
      <w:color w:val="FF0000"/>
      <w:sz w:val="22"/>
      <w:szCs w:val="22"/>
      <w:u w:val="none"/>
    </w:rPr>
  </w:style>
  <w:style w:type="character" w:customStyle="1" w:styleId="25">
    <w:name w:val="font1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19322</Words>
  <Characters>20521</Characters>
  <Lines>0</Lines>
  <Paragraphs>0</Paragraphs>
  <TotalTime>4</TotalTime>
  <ScaleCrop>false</ScaleCrop>
  <LinksUpToDate>false</LinksUpToDate>
  <CharactersWithSpaces>21116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2026-01-20T07:44:00Z</dcterms:created>
  <dc:creator>点亮眉心那一道光</dc:creator>
  <cp:lastModifiedBy>点亮眉心那一道光</cp:lastModifiedBy>
  <dcterms:modified xsi:type="dcterms:W3CDTF">2026-07-08T01:02:47Z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CD43B69A9A8148BE9D3784DC5DA377DE_13</vt:lpwstr>
  </property>
  <property fmtid="{D5CDD505-2E9C-101B-9397-08002B2CF9AE}" pid="4" name="KSOTemplateDocerSaveRecord">
    <vt:lpwstr>eyJoZGlkIjoiOGMwOTE2NWMyZmNjOTNlNzY4MzllMWMzOWFjOTBkOWIiLCJ1c2VySWQiOiIyOTQ0Mjc5NzcifQ==</vt:lpwstr>
  </property>
</Properties>
</file>